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A7AB" w14:textId="77777777" w:rsidR="00404909" w:rsidRDefault="00404909" w:rsidP="00404909">
      <w:pPr>
        <w:ind w:firstLineChars="0" w:firstLine="0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1</w:t>
      </w:r>
      <w:r>
        <w:rPr>
          <w:rFonts w:ascii="Times New Roman" w:eastAsia="方正小标宋_GBK" w:hAnsi="Times New Roman" w:hint="eastAsia"/>
          <w:sz w:val="44"/>
          <w:szCs w:val="44"/>
        </w:rPr>
        <w:t>—</w:t>
      </w:r>
      <w:r>
        <w:rPr>
          <w:rFonts w:ascii="Times New Roman" w:eastAsia="方正小标宋_GBK" w:hAnsi="Times New Roman" w:hint="eastAsia"/>
          <w:sz w:val="44"/>
          <w:szCs w:val="44"/>
        </w:rPr>
        <w:t>9</w:t>
      </w:r>
      <w:r>
        <w:rPr>
          <w:rFonts w:ascii="Times New Roman" w:eastAsia="方正小标宋_GBK" w:hAnsi="Times New Roman" w:hint="eastAsia"/>
          <w:sz w:val="44"/>
          <w:szCs w:val="44"/>
        </w:rPr>
        <w:t>月民生实事项目进展情况表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5"/>
        <w:gridCol w:w="3271"/>
        <w:gridCol w:w="1285"/>
        <w:gridCol w:w="7401"/>
        <w:gridCol w:w="1276"/>
      </w:tblGrid>
      <w:tr w:rsidR="00404909" w14:paraId="571B5D2C" w14:textId="77777777" w:rsidTr="00395CB3">
        <w:trPr>
          <w:trHeight w:val="528"/>
          <w:tblHeader/>
          <w:jc w:val="center"/>
        </w:trPr>
        <w:tc>
          <w:tcPr>
            <w:tcW w:w="249" w:type="pct"/>
            <w:vAlign w:val="center"/>
          </w:tcPr>
          <w:p w14:paraId="41852D6D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黑体_GBK" w:hAnsi="Times New Roman"/>
                <w:sz w:val="24"/>
                <w:szCs w:val="24"/>
              </w:rPr>
            </w:pPr>
            <w:r>
              <w:rPr>
                <w:rFonts w:ascii="Times New Roman" w:eastAsia="方正黑体_GBK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1174" w:type="pct"/>
            <w:vAlign w:val="center"/>
          </w:tcPr>
          <w:p w14:paraId="2D2C946D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黑体_GBK" w:hAnsi="Times New Roman"/>
                <w:sz w:val="24"/>
                <w:szCs w:val="24"/>
              </w:rPr>
            </w:pPr>
            <w:r>
              <w:rPr>
                <w:rFonts w:ascii="Times New Roman" w:eastAsia="方正黑体_GBK" w:hAnsi="Times New Roman" w:hint="eastAsia"/>
                <w:sz w:val="24"/>
                <w:szCs w:val="24"/>
              </w:rPr>
              <w:t>实事项目</w:t>
            </w:r>
          </w:p>
        </w:tc>
        <w:tc>
          <w:tcPr>
            <w:tcW w:w="461" w:type="pct"/>
            <w:vAlign w:val="center"/>
          </w:tcPr>
          <w:p w14:paraId="2246EDAB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黑体_GBK" w:hAnsi="Times New Roman"/>
                <w:sz w:val="24"/>
                <w:szCs w:val="24"/>
              </w:rPr>
            </w:pPr>
            <w:r>
              <w:rPr>
                <w:rFonts w:ascii="Times New Roman" w:eastAsia="方正黑体_GBK" w:hAnsi="Times New Roman" w:hint="eastAsia"/>
                <w:sz w:val="24"/>
                <w:szCs w:val="24"/>
              </w:rPr>
              <w:t>责任单位</w:t>
            </w:r>
          </w:p>
        </w:tc>
        <w:tc>
          <w:tcPr>
            <w:tcW w:w="2656" w:type="pct"/>
            <w:vAlign w:val="center"/>
          </w:tcPr>
          <w:p w14:paraId="16188B52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黑体_GBK" w:hAnsi="Times New Roman"/>
                <w:sz w:val="24"/>
                <w:szCs w:val="24"/>
              </w:rPr>
            </w:pPr>
            <w:r>
              <w:rPr>
                <w:rFonts w:ascii="Times New Roman" w:eastAsia="方正黑体_GBK" w:hAnsi="Times New Roman" w:hint="eastAsia"/>
                <w:sz w:val="24"/>
                <w:szCs w:val="24"/>
              </w:rPr>
              <w:t>项目进展情况</w:t>
            </w:r>
          </w:p>
        </w:tc>
        <w:tc>
          <w:tcPr>
            <w:tcW w:w="458" w:type="pct"/>
            <w:vAlign w:val="center"/>
          </w:tcPr>
          <w:p w14:paraId="46A5863B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黑体_GBK" w:hAnsi="Times New Roman"/>
                <w:sz w:val="24"/>
                <w:szCs w:val="24"/>
              </w:rPr>
            </w:pPr>
            <w:r>
              <w:rPr>
                <w:rFonts w:ascii="Times New Roman" w:eastAsia="方正黑体_GBK" w:hAnsi="Times New Roman" w:hint="eastAsia"/>
                <w:sz w:val="24"/>
                <w:szCs w:val="24"/>
              </w:rPr>
              <w:t>完成进度</w:t>
            </w:r>
          </w:p>
        </w:tc>
      </w:tr>
      <w:tr w:rsidR="00404909" w14:paraId="3C0131C2" w14:textId="77777777" w:rsidTr="00395CB3">
        <w:trPr>
          <w:trHeight w:val="1587"/>
          <w:jc w:val="center"/>
        </w:trPr>
        <w:tc>
          <w:tcPr>
            <w:tcW w:w="249" w:type="pct"/>
            <w:vAlign w:val="center"/>
          </w:tcPr>
          <w:p w14:paraId="4FD255B9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</w:t>
            </w:r>
          </w:p>
        </w:tc>
        <w:tc>
          <w:tcPr>
            <w:tcW w:w="1174" w:type="pct"/>
            <w:vAlign w:val="center"/>
          </w:tcPr>
          <w:p w14:paraId="532F73E5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持续提升市民过江通行能力，江阴靖江过江隧道及南接线配套工程完工并具备通车条件。</w:t>
            </w:r>
          </w:p>
        </w:tc>
        <w:tc>
          <w:tcPr>
            <w:tcW w:w="461" w:type="pct"/>
            <w:vAlign w:val="center"/>
          </w:tcPr>
          <w:p w14:paraId="5E7E024A" w14:textId="77777777" w:rsidR="00404909" w:rsidRDefault="00404909" w:rsidP="00395CB3">
            <w:pPr>
              <w:pStyle w:val="ae"/>
              <w:spacing w:line="0" w:lineRule="atLeast"/>
              <w:ind w:firstLine="0"/>
              <w:jc w:val="center"/>
              <w:rPr>
                <w:rFonts w:ascii="Times New Roman" w:eastAsia="方正楷体_GBK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交通局</w:t>
            </w:r>
          </w:p>
        </w:tc>
        <w:tc>
          <w:tcPr>
            <w:tcW w:w="2656" w:type="pct"/>
            <w:vAlign w:val="center"/>
          </w:tcPr>
          <w:p w14:paraId="232AB284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江阴靖江长江隧道工程隧道主体工程正全力推进扫尾施工。南引线工程桥梁工程累计完成总工程量的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95%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，路基工程累计完成总工程量的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100%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，路面工程累计完成总工程量的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70%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；南接线工程主体工程累计完成总工程量的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99%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，路面标累计完成总工程量的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58.5%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。</w:t>
            </w:r>
          </w:p>
        </w:tc>
        <w:tc>
          <w:tcPr>
            <w:tcW w:w="458" w:type="pct"/>
            <w:vAlign w:val="center"/>
          </w:tcPr>
          <w:p w14:paraId="380F3F6E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符合时序</w:t>
            </w:r>
          </w:p>
        </w:tc>
      </w:tr>
      <w:tr w:rsidR="00404909" w14:paraId="32FA95BF" w14:textId="77777777" w:rsidTr="00395CB3">
        <w:trPr>
          <w:trHeight w:val="1557"/>
          <w:jc w:val="center"/>
        </w:trPr>
        <w:tc>
          <w:tcPr>
            <w:tcW w:w="249" w:type="pct"/>
            <w:vAlign w:val="center"/>
          </w:tcPr>
          <w:p w14:paraId="14DEAE4E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</w:p>
        </w:tc>
        <w:tc>
          <w:tcPr>
            <w:tcW w:w="1174" w:type="pct"/>
            <w:vAlign w:val="center"/>
          </w:tcPr>
          <w:p w14:paraId="3DD19D1C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完善锡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澄一体化基础设施，完成锡澄路（塘头桥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—顾桐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路段）双向六车道快速化改造工程，形成“通江达湖”的城市快速交通大动脉。</w:t>
            </w:r>
          </w:p>
        </w:tc>
        <w:tc>
          <w:tcPr>
            <w:tcW w:w="461" w:type="pct"/>
            <w:vAlign w:val="center"/>
          </w:tcPr>
          <w:p w14:paraId="2D850C8C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交通局</w:t>
            </w:r>
          </w:p>
        </w:tc>
        <w:tc>
          <w:tcPr>
            <w:tcW w:w="2656" w:type="pct"/>
            <w:vAlign w:val="center"/>
          </w:tcPr>
          <w:p w14:paraId="643F1460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已完成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锡澄路快速化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改造工程（塘头桥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至顾桐路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），路线全长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5.9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公里，与无锡凤翔快速路形成无缝衔接，大幅提升了锡澄两地通行效率。</w:t>
            </w:r>
          </w:p>
        </w:tc>
        <w:tc>
          <w:tcPr>
            <w:tcW w:w="458" w:type="pct"/>
            <w:vAlign w:val="center"/>
          </w:tcPr>
          <w:p w14:paraId="62FD8595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已完成★</w:t>
            </w:r>
          </w:p>
        </w:tc>
      </w:tr>
      <w:tr w:rsidR="00404909" w14:paraId="6CEF1D6B" w14:textId="77777777" w:rsidTr="00395CB3">
        <w:trPr>
          <w:trHeight w:val="1915"/>
          <w:jc w:val="center"/>
        </w:trPr>
        <w:tc>
          <w:tcPr>
            <w:tcW w:w="249" w:type="pct"/>
            <w:vAlign w:val="center"/>
          </w:tcPr>
          <w:p w14:paraId="524F9A73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</w:t>
            </w:r>
          </w:p>
        </w:tc>
        <w:tc>
          <w:tcPr>
            <w:tcW w:w="1174" w:type="pct"/>
            <w:vAlign w:val="center"/>
          </w:tcPr>
          <w:p w14:paraId="52E5145A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畅通区域路网，林荫大道（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韭菜港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路—文富北路）、塘前路（花山路—虹桥路）、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新澄杨线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一期（花山路西—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皮弄路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）建成通车。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 xml:space="preserve"> </w:t>
            </w:r>
          </w:p>
        </w:tc>
        <w:tc>
          <w:tcPr>
            <w:tcW w:w="461" w:type="pct"/>
            <w:vAlign w:val="center"/>
          </w:tcPr>
          <w:p w14:paraId="394AB416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住建局</w:t>
            </w:r>
          </w:p>
        </w:tc>
        <w:tc>
          <w:tcPr>
            <w:tcW w:w="2656" w:type="pct"/>
            <w:vAlign w:val="center"/>
          </w:tcPr>
          <w:p w14:paraId="01EB7F58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林荫大道（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韭菜港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路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—文富北路）已完工通车；塘前路（花山路—虹桥路）：已完成雨水管道施工，正进行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灰土施工；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新澄杨线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一期（花山路西—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皮弄路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）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科创谷段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：老皮弄路以东至花东路全线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完成水稳摊铺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，其中快速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路完成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沥青第二层摊铺；隧道敞开段完成底板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17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块侧墙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块；隧道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暗埋段正在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进行碎石回填、防撞墙、各管道桥架施工。</w:t>
            </w:r>
          </w:p>
        </w:tc>
        <w:tc>
          <w:tcPr>
            <w:tcW w:w="458" w:type="pct"/>
            <w:vAlign w:val="center"/>
          </w:tcPr>
          <w:p w14:paraId="42811428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符合时序</w:t>
            </w:r>
          </w:p>
        </w:tc>
      </w:tr>
      <w:tr w:rsidR="00404909" w14:paraId="7887671C" w14:textId="77777777" w:rsidTr="00395CB3">
        <w:trPr>
          <w:trHeight w:val="1647"/>
          <w:jc w:val="center"/>
        </w:trPr>
        <w:tc>
          <w:tcPr>
            <w:tcW w:w="249" w:type="pct"/>
            <w:vAlign w:val="center"/>
          </w:tcPr>
          <w:p w14:paraId="2C488F61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1174" w:type="pct"/>
            <w:vAlign w:val="center"/>
          </w:tcPr>
          <w:p w14:paraId="76B1394D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优化妇幼医疗资源配置，建成投用江阴市妇幼保健院改建项目，增强危急重症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孕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产妇和新生儿急诊救治能力。</w:t>
            </w:r>
          </w:p>
        </w:tc>
        <w:tc>
          <w:tcPr>
            <w:tcW w:w="461" w:type="pct"/>
            <w:vAlign w:val="center"/>
          </w:tcPr>
          <w:p w14:paraId="07F0409A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卫健委</w:t>
            </w:r>
            <w:proofErr w:type="gramEnd"/>
          </w:p>
        </w:tc>
        <w:tc>
          <w:tcPr>
            <w:tcW w:w="2656" w:type="pct"/>
            <w:vAlign w:val="center"/>
          </w:tcPr>
          <w:p w14:paraId="26EB10B7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妇幼保健院改建项目已圆满完成竣工验收。目前，项目已进入后期配套设备安装与调试阶段，各项工作正按既定标准与流程有序推进，为确保尽快正式投入启用做好全面准备。</w:t>
            </w:r>
          </w:p>
        </w:tc>
        <w:tc>
          <w:tcPr>
            <w:tcW w:w="458" w:type="pct"/>
            <w:vAlign w:val="center"/>
          </w:tcPr>
          <w:p w14:paraId="22ECFBDF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已完成★</w:t>
            </w:r>
          </w:p>
        </w:tc>
      </w:tr>
      <w:tr w:rsidR="00404909" w14:paraId="1D3B9886" w14:textId="77777777" w:rsidTr="00395CB3">
        <w:trPr>
          <w:trHeight w:val="1512"/>
          <w:jc w:val="center"/>
        </w:trPr>
        <w:tc>
          <w:tcPr>
            <w:tcW w:w="249" w:type="pct"/>
            <w:vAlign w:val="center"/>
          </w:tcPr>
          <w:p w14:paraId="7D8B99D9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</w:t>
            </w:r>
          </w:p>
        </w:tc>
        <w:tc>
          <w:tcPr>
            <w:tcW w:w="1174" w:type="pct"/>
            <w:vAlign w:val="center"/>
          </w:tcPr>
          <w:p w14:paraId="6F9A239F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扩大市民就业社保覆盖面，提供就业岗位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6.2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万个，开发就业见习岗位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1000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个，城镇新增就业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2.6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万人，新增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社保扩面参保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万人。</w:t>
            </w:r>
          </w:p>
        </w:tc>
        <w:tc>
          <w:tcPr>
            <w:tcW w:w="461" w:type="pct"/>
            <w:vAlign w:val="center"/>
          </w:tcPr>
          <w:p w14:paraId="07558C77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人社局</w:t>
            </w:r>
            <w:proofErr w:type="gramEnd"/>
          </w:p>
        </w:tc>
        <w:tc>
          <w:tcPr>
            <w:tcW w:w="2656" w:type="pct"/>
            <w:vAlign w:val="center"/>
          </w:tcPr>
          <w:p w14:paraId="77FA74E3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最新数据，提供就业岗位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万个，开发就业见习岗位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2626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个，城镇新增就业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2.16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万人，新增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社保扩面参保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2.4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万人。</w:t>
            </w:r>
          </w:p>
        </w:tc>
        <w:tc>
          <w:tcPr>
            <w:tcW w:w="458" w:type="pct"/>
            <w:vAlign w:val="center"/>
          </w:tcPr>
          <w:p w14:paraId="5E63297D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快于时序</w:t>
            </w:r>
          </w:p>
        </w:tc>
      </w:tr>
      <w:tr w:rsidR="00404909" w14:paraId="0C5DB612" w14:textId="77777777" w:rsidTr="00395CB3">
        <w:trPr>
          <w:trHeight w:val="2486"/>
          <w:jc w:val="center"/>
        </w:trPr>
        <w:tc>
          <w:tcPr>
            <w:tcW w:w="249" w:type="pct"/>
            <w:vAlign w:val="center"/>
          </w:tcPr>
          <w:p w14:paraId="125706AD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6</w:t>
            </w:r>
          </w:p>
        </w:tc>
        <w:tc>
          <w:tcPr>
            <w:tcW w:w="1174" w:type="pct"/>
            <w:vAlign w:val="center"/>
          </w:tcPr>
          <w:p w14:paraId="2FA7E4F4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改善居民居住生活条件，改造出新主城区花园四村等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个老旧小区，总面积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19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万平米，老旧小区加装电梯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台。对全市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台老旧住宅电梯开展首次安全评估，推动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150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台以上电梯进行零部件及整机更新。</w:t>
            </w:r>
          </w:p>
        </w:tc>
        <w:tc>
          <w:tcPr>
            <w:tcW w:w="461" w:type="pct"/>
            <w:vAlign w:val="center"/>
          </w:tcPr>
          <w:p w14:paraId="570730C4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sz w:val="24"/>
                <w:szCs w:val="24"/>
              </w:rPr>
              <w:t>住建局</w:t>
            </w:r>
          </w:p>
          <w:p w14:paraId="49E6BE06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sz w:val="24"/>
                <w:szCs w:val="24"/>
              </w:rPr>
              <w:t>市场监管局</w:t>
            </w:r>
          </w:p>
          <w:p w14:paraId="3414B875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澄江街道</w:t>
            </w:r>
          </w:p>
        </w:tc>
        <w:tc>
          <w:tcPr>
            <w:tcW w:w="2656" w:type="pct"/>
            <w:vAlign w:val="center"/>
          </w:tcPr>
          <w:p w14:paraId="19F536E6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花园三村、花园四村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个小区已于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日正式开工，目前外立面、管网、绿化改造全面铺开；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园通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路片区由于拆迁计划，经汇报市领导后暂停实施。老旧小区加装电梯已完成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台，在建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台。</w:t>
            </w:r>
          </w:p>
          <w:p w14:paraId="6F47D996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全市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台老旧住宅电梯现场安全评估工作已经完成，已出具评估报告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278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份，目前已整改问题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762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项，推动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85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台电梯进行了零部件更新。市场监管、住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建联合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申报老旧住宅电梯更新超长期国债资金补助，争取电梯补助资金额度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612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台。</w:t>
            </w:r>
          </w:p>
        </w:tc>
        <w:tc>
          <w:tcPr>
            <w:tcW w:w="458" w:type="pct"/>
            <w:vAlign w:val="center"/>
          </w:tcPr>
          <w:p w14:paraId="32734D00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符合时序</w:t>
            </w:r>
          </w:p>
        </w:tc>
      </w:tr>
      <w:tr w:rsidR="00404909" w14:paraId="194F1071" w14:textId="77777777" w:rsidTr="00395CB3">
        <w:trPr>
          <w:trHeight w:val="1070"/>
          <w:jc w:val="center"/>
        </w:trPr>
        <w:tc>
          <w:tcPr>
            <w:tcW w:w="249" w:type="pct"/>
            <w:vAlign w:val="center"/>
          </w:tcPr>
          <w:p w14:paraId="021E8571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7</w:t>
            </w:r>
          </w:p>
        </w:tc>
        <w:tc>
          <w:tcPr>
            <w:tcW w:w="1174" w:type="pct"/>
            <w:vAlign w:val="center"/>
          </w:tcPr>
          <w:p w14:paraId="67F1FCAA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拓</w:t>
            </w:r>
            <w:r>
              <w:rPr>
                <w:rFonts w:ascii="Times New Roman" w:eastAsia="方正楷体_GBK" w:hAnsi="Times New Roman" w:hint="eastAsia"/>
                <w:spacing w:val="-6"/>
                <w:sz w:val="24"/>
                <w:szCs w:val="24"/>
              </w:rPr>
              <w:t>展市民休憩娱乐空间，建成开放锡澄运河公园五期（黄田港桥—临江路桥），主城区运河沿线打造成片。</w:t>
            </w:r>
          </w:p>
        </w:tc>
        <w:tc>
          <w:tcPr>
            <w:tcW w:w="461" w:type="pct"/>
            <w:vAlign w:val="center"/>
          </w:tcPr>
          <w:p w14:paraId="497703F0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住建局</w:t>
            </w:r>
          </w:p>
        </w:tc>
        <w:tc>
          <w:tcPr>
            <w:tcW w:w="2656" w:type="pct"/>
            <w:vAlign w:val="center"/>
          </w:tcPr>
          <w:p w14:paraId="75DEFA88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锡澄运河公园五期（黄田港桥—临江路桥）长约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0.6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公里、占地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9.2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公顷，已建成开放。西岸片区统筹生态保护与景观营造，着力打造自然生态景观带；东岸片区聚焦群众需求导向，重点构建活力多彩休闲区。</w:t>
            </w:r>
          </w:p>
        </w:tc>
        <w:tc>
          <w:tcPr>
            <w:tcW w:w="458" w:type="pct"/>
            <w:vAlign w:val="center"/>
          </w:tcPr>
          <w:p w14:paraId="063E2646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已完成★</w:t>
            </w:r>
          </w:p>
        </w:tc>
      </w:tr>
      <w:tr w:rsidR="00404909" w14:paraId="7B5EE105" w14:textId="77777777" w:rsidTr="00395CB3">
        <w:trPr>
          <w:trHeight w:val="1433"/>
          <w:jc w:val="center"/>
        </w:trPr>
        <w:tc>
          <w:tcPr>
            <w:tcW w:w="249" w:type="pct"/>
            <w:vAlign w:val="center"/>
          </w:tcPr>
          <w:p w14:paraId="09367DB2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lastRenderedPageBreak/>
              <w:t>8</w:t>
            </w:r>
          </w:p>
        </w:tc>
        <w:tc>
          <w:tcPr>
            <w:tcW w:w="1174" w:type="pct"/>
            <w:vAlign w:val="center"/>
          </w:tcPr>
          <w:p w14:paraId="0A80C373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提升教育优质资源供给，建成投用南京师范大学附属江阴实验小学（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48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班），完成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新建夏港长江幼儿园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（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班）项目。</w:t>
            </w:r>
          </w:p>
        </w:tc>
        <w:tc>
          <w:tcPr>
            <w:tcW w:w="461" w:type="pct"/>
            <w:vAlign w:val="center"/>
          </w:tcPr>
          <w:p w14:paraId="08D6C595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教育局</w:t>
            </w:r>
          </w:p>
          <w:p w14:paraId="32669E73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新桥镇</w:t>
            </w:r>
          </w:p>
          <w:p w14:paraId="25D979E5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夏港街道</w:t>
            </w:r>
            <w:proofErr w:type="gramEnd"/>
          </w:p>
        </w:tc>
        <w:tc>
          <w:tcPr>
            <w:tcW w:w="2656" w:type="pct"/>
            <w:vAlign w:val="center"/>
          </w:tcPr>
          <w:p w14:paraId="2326110C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月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日，南京师范大学附属江阴实验小学（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48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班）和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夏港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长江幼儿园（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班）顺利开学投用。</w:t>
            </w:r>
          </w:p>
        </w:tc>
        <w:tc>
          <w:tcPr>
            <w:tcW w:w="458" w:type="pct"/>
            <w:vAlign w:val="center"/>
          </w:tcPr>
          <w:p w14:paraId="0668BE72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已完成★</w:t>
            </w:r>
          </w:p>
        </w:tc>
      </w:tr>
      <w:tr w:rsidR="00404909" w14:paraId="19E8079F" w14:textId="77777777" w:rsidTr="00395CB3">
        <w:trPr>
          <w:trHeight w:val="2129"/>
          <w:jc w:val="center"/>
        </w:trPr>
        <w:tc>
          <w:tcPr>
            <w:tcW w:w="249" w:type="pct"/>
            <w:vAlign w:val="center"/>
          </w:tcPr>
          <w:p w14:paraId="01EB7335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</w:t>
            </w:r>
          </w:p>
        </w:tc>
        <w:tc>
          <w:tcPr>
            <w:tcW w:w="1174" w:type="pct"/>
            <w:vAlign w:val="center"/>
          </w:tcPr>
          <w:p w14:paraId="40AF6B6E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提升妇女儿童权益保障水平，建成投用妇女儿童活动中心，面向全市妇女儿童家庭开展维权关爱、女性成长、家庭教育、幼儿托育等各类公益活动，覆盖妇女儿童家庭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1.5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万人次。</w:t>
            </w:r>
          </w:p>
        </w:tc>
        <w:tc>
          <w:tcPr>
            <w:tcW w:w="461" w:type="pct"/>
            <w:vAlign w:val="center"/>
          </w:tcPr>
          <w:p w14:paraId="24B93721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妇联</w:t>
            </w:r>
          </w:p>
          <w:p w14:paraId="7084A123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文商旅</w:t>
            </w:r>
          </w:p>
        </w:tc>
        <w:tc>
          <w:tcPr>
            <w:tcW w:w="2656" w:type="pct"/>
            <w:vAlign w:val="center"/>
          </w:tcPr>
          <w:p w14:paraId="2B26A5BD" w14:textId="77777777" w:rsidR="00404909" w:rsidRDefault="00404909" w:rsidP="00395CB3">
            <w:pPr>
              <w:spacing w:line="320" w:lineRule="exact"/>
              <w:ind w:firstLineChars="0" w:firstLine="0"/>
              <w:rPr>
                <w:rFonts w:ascii="Times New Roman" w:eastAsia="方正楷体_GBK" w:hAnsi="Times New Roman" w:cs="方正楷体_GBK"/>
                <w:kern w:val="32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妇儿中心正式启用，并召开纪念“三八”国际妇女节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115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周年主题活动。建成启用妇儿中心法律援助工作站、妇女儿童权益检察保护站，设立市巾帼阳光志愿站，共计开展“志愿全澄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巾帼先行”巾帼志愿关爱服务等活动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350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场次。开展女性发展类、家风家教类、妇女维权类、暑期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托育类等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各类课程及活动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450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余课时，活动课程共计覆盖妇女儿童家庭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13000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余人次。</w:t>
            </w:r>
          </w:p>
        </w:tc>
        <w:tc>
          <w:tcPr>
            <w:tcW w:w="458" w:type="pct"/>
            <w:vAlign w:val="center"/>
          </w:tcPr>
          <w:p w14:paraId="04B11E67" w14:textId="77777777" w:rsidR="00404909" w:rsidRDefault="00404909" w:rsidP="00395CB3">
            <w:pPr>
              <w:spacing w:line="320" w:lineRule="exact"/>
              <w:ind w:firstLineChars="0" w:firstLine="0"/>
              <w:jc w:val="center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cs="方正楷体_GBK" w:hint="eastAsia"/>
                <w:sz w:val="24"/>
                <w:szCs w:val="24"/>
              </w:rPr>
              <w:t>符合时序</w:t>
            </w:r>
          </w:p>
        </w:tc>
      </w:tr>
      <w:tr w:rsidR="00404909" w14:paraId="3B83F249" w14:textId="77777777" w:rsidTr="00395CB3">
        <w:trPr>
          <w:trHeight w:val="20"/>
          <w:jc w:val="center"/>
        </w:trPr>
        <w:tc>
          <w:tcPr>
            <w:tcW w:w="249" w:type="pct"/>
            <w:vAlign w:val="center"/>
          </w:tcPr>
          <w:p w14:paraId="75792D0F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10</w:t>
            </w:r>
          </w:p>
        </w:tc>
        <w:tc>
          <w:tcPr>
            <w:tcW w:w="1174" w:type="pct"/>
            <w:vAlign w:val="center"/>
          </w:tcPr>
          <w:p w14:paraId="44C29189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打造城区精品微景观，黄山湖公园实施局部修复，完成虹桥南路下沉广场改造提升，建成“美丽街巷”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条、城市休憩角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处。</w:t>
            </w:r>
          </w:p>
        </w:tc>
        <w:tc>
          <w:tcPr>
            <w:tcW w:w="461" w:type="pct"/>
            <w:vAlign w:val="center"/>
          </w:tcPr>
          <w:p w14:paraId="7755FC9F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color w:val="000000"/>
                <w:sz w:val="24"/>
                <w:szCs w:val="24"/>
              </w:rPr>
              <w:t>城管局</w:t>
            </w:r>
          </w:p>
          <w:p w14:paraId="38C96762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澄江街道</w:t>
            </w:r>
          </w:p>
        </w:tc>
        <w:tc>
          <w:tcPr>
            <w:tcW w:w="2656" w:type="pct"/>
            <w:vAlign w:val="center"/>
          </w:tcPr>
          <w:p w14:paraId="218FEBC0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/>
                <w:sz w:val="24"/>
                <w:szCs w:val="24"/>
              </w:rPr>
              <w:t>已完成黄山湖公园修复、虹桥南路下沉广场的改造提升。</w:t>
            </w:r>
          </w:p>
          <w:p w14:paraId="2953F3BA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条“美丽街巷”：忠义街已完工；马镇东街西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街完成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进度约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85%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。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个城市休憩角：已完成云亭街道云台路、澄江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街道通渡路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等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处；其余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个点位完成进度约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85%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。</w:t>
            </w:r>
          </w:p>
        </w:tc>
        <w:tc>
          <w:tcPr>
            <w:tcW w:w="458" w:type="pct"/>
            <w:vAlign w:val="center"/>
          </w:tcPr>
          <w:p w14:paraId="14B9EB48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快于时序</w:t>
            </w:r>
          </w:p>
        </w:tc>
      </w:tr>
      <w:tr w:rsidR="00404909" w14:paraId="498E20B4" w14:textId="77777777" w:rsidTr="00395CB3">
        <w:trPr>
          <w:trHeight w:val="20"/>
          <w:jc w:val="center"/>
        </w:trPr>
        <w:tc>
          <w:tcPr>
            <w:tcW w:w="249" w:type="pct"/>
            <w:vAlign w:val="center"/>
          </w:tcPr>
          <w:p w14:paraId="4FF2BF26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11</w:t>
            </w:r>
          </w:p>
        </w:tc>
        <w:tc>
          <w:tcPr>
            <w:tcW w:w="1174" w:type="pct"/>
            <w:vAlign w:val="center"/>
          </w:tcPr>
          <w:p w14:paraId="2E9BEC79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优化青少年健康成长环境，建成投用江阴市（新）少年宫，提供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万人次校外艺术培训服务。全市开设“爱心暑托班”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个，提供超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1000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个招生名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lastRenderedPageBreak/>
              <w:t>额；为困境留守儿童等特殊群体建设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间事实无人抚养儿童“梦想小屋”。</w:t>
            </w:r>
          </w:p>
        </w:tc>
        <w:tc>
          <w:tcPr>
            <w:tcW w:w="461" w:type="pct"/>
            <w:vAlign w:val="center"/>
          </w:tcPr>
          <w:p w14:paraId="2ECBA55D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lastRenderedPageBreak/>
              <w:t>团市委</w:t>
            </w:r>
          </w:p>
        </w:tc>
        <w:tc>
          <w:tcPr>
            <w:tcW w:w="2656" w:type="pct"/>
            <w:vAlign w:val="center"/>
          </w:tcPr>
          <w:p w14:paraId="5593BE98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已完成国乐岛新少年宫各项验收工作，搭建了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大项目课程体系，开展各类活动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21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次，覆盖青少年儿童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2000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余人次。“梦想改造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”关爱计划确定为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名困境青少年建造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21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间“梦想小屋”，所有小屋已于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7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月全面完工。同时，依托江阴市青少年权益保护协会，常态化为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名关爱对象提供结对帮扶。利用暑期，组织全市各板块开设公益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暑托服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lastRenderedPageBreak/>
              <w:t>务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点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个，面向包括公益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暑托点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在内的全市青少年暑期服务</w:t>
            </w:r>
            <w:proofErr w:type="gramStart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班点提供课程超</w:t>
            </w:r>
            <w:proofErr w:type="gramEnd"/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230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次，服务青少年超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6700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人次。</w:t>
            </w:r>
          </w:p>
        </w:tc>
        <w:tc>
          <w:tcPr>
            <w:tcW w:w="458" w:type="pct"/>
            <w:vAlign w:val="center"/>
          </w:tcPr>
          <w:p w14:paraId="2003B6F2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lastRenderedPageBreak/>
              <w:t>符合时序</w:t>
            </w:r>
          </w:p>
        </w:tc>
      </w:tr>
      <w:tr w:rsidR="00404909" w14:paraId="3AC2DA04" w14:textId="77777777" w:rsidTr="00395CB3">
        <w:trPr>
          <w:trHeight w:val="20"/>
          <w:jc w:val="center"/>
        </w:trPr>
        <w:tc>
          <w:tcPr>
            <w:tcW w:w="249" w:type="pct"/>
            <w:vAlign w:val="center"/>
          </w:tcPr>
          <w:p w14:paraId="6C897B78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12</w:t>
            </w:r>
          </w:p>
        </w:tc>
        <w:tc>
          <w:tcPr>
            <w:tcW w:w="1174" w:type="pct"/>
            <w:vAlign w:val="center"/>
          </w:tcPr>
          <w:p w14:paraId="7152A1E0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 w:cs="方正楷体_GBK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丰富市民高品质生活场景，建成投用江阴市音乐厅，满足群众高品质文化需求；优质公共文化服务配送基层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600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场以上，惠及市民群众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万人次。</w:t>
            </w:r>
          </w:p>
        </w:tc>
        <w:tc>
          <w:tcPr>
            <w:tcW w:w="461" w:type="pct"/>
            <w:vAlign w:val="center"/>
          </w:tcPr>
          <w:p w14:paraId="0A19152D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文商旅</w:t>
            </w:r>
          </w:p>
          <w:p w14:paraId="7F4E0A21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方正楷体_GBK" w:hAnsi="Times New Roman" w:hint="eastAsia"/>
                <w:color w:val="000000"/>
                <w:sz w:val="24"/>
                <w:szCs w:val="24"/>
              </w:rPr>
              <w:t>文体广旅局</w:t>
            </w:r>
            <w:proofErr w:type="gramEnd"/>
          </w:p>
        </w:tc>
        <w:tc>
          <w:tcPr>
            <w:tcW w:w="2656" w:type="pct"/>
            <w:vAlign w:val="center"/>
          </w:tcPr>
          <w:p w14:paraId="6FE78953" w14:textId="77777777" w:rsidR="00404909" w:rsidRDefault="00404909" w:rsidP="00395CB3">
            <w:pPr>
              <w:spacing w:line="0" w:lineRule="atLeast"/>
              <w:ind w:firstLineChars="0" w:firstLine="0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江阴音乐厅建成后举办了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62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场演出及活动，其中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A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类演出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14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场，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B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类演出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13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场，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C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类演出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35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场，音乐厅观看演出人次达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34000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余人。“澄艺快递”累计开展优质公共文化服务配送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398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场次，服务群众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33</w:t>
            </w: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万人次。</w:t>
            </w:r>
          </w:p>
        </w:tc>
        <w:tc>
          <w:tcPr>
            <w:tcW w:w="458" w:type="pct"/>
            <w:vAlign w:val="center"/>
          </w:tcPr>
          <w:p w14:paraId="208C2061" w14:textId="77777777" w:rsidR="00404909" w:rsidRDefault="00404909" w:rsidP="00395CB3">
            <w:pPr>
              <w:spacing w:line="0" w:lineRule="atLeast"/>
              <w:ind w:firstLineChars="0" w:firstLine="0"/>
              <w:jc w:val="center"/>
              <w:rPr>
                <w:rFonts w:ascii="Times New Roman" w:eastAsia="方正楷体_GBK" w:hAnsi="Times New Roman"/>
                <w:sz w:val="24"/>
                <w:szCs w:val="24"/>
              </w:rPr>
            </w:pPr>
            <w:r>
              <w:rPr>
                <w:rFonts w:ascii="Times New Roman" w:eastAsia="方正楷体_GBK" w:hAnsi="Times New Roman" w:hint="eastAsia"/>
                <w:sz w:val="24"/>
                <w:szCs w:val="24"/>
              </w:rPr>
              <w:t>符合时序</w:t>
            </w:r>
          </w:p>
        </w:tc>
      </w:tr>
    </w:tbl>
    <w:p w14:paraId="452CBB61" w14:textId="77777777" w:rsidR="00844369" w:rsidRDefault="00844369">
      <w:pPr>
        <w:ind w:firstLine="640"/>
        <w:rPr>
          <w:rFonts w:hint="eastAsia"/>
        </w:rPr>
      </w:pPr>
    </w:p>
    <w:sectPr w:rsidR="00844369" w:rsidSect="004049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FF3"/>
    <w:rsid w:val="001C5FF3"/>
    <w:rsid w:val="00404909"/>
    <w:rsid w:val="00502BDA"/>
    <w:rsid w:val="007772C5"/>
    <w:rsid w:val="00844369"/>
    <w:rsid w:val="00D1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4A734C-8076-4250-8D33-F99AE3349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4909"/>
    <w:pPr>
      <w:widowControl w:val="0"/>
      <w:ind w:firstLineChars="200" w:firstLine="200"/>
      <w:jc w:val="both"/>
    </w:pPr>
    <w:rPr>
      <w:rFonts w:ascii="方正仿宋_GBK" w:eastAsia="方正仿宋_GBK" w:hAnsi="宋体" w:cs="宋体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1C5FF3"/>
    <w:pPr>
      <w:keepNext/>
      <w:keepLines/>
      <w:spacing w:before="480" w:after="80"/>
      <w:ind w:firstLineChars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C5FF3"/>
    <w:pPr>
      <w:keepNext/>
      <w:keepLines/>
      <w:spacing w:before="160" w:after="80"/>
      <w:ind w:firstLineChars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5FF3"/>
    <w:pPr>
      <w:keepNext/>
      <w:keepLines/>
      <w:spacing w:before="160" w:after="80"/>
      <w:ind w:firstLineChars="0" w:firstLine="0"/>
      <w:outlineLvl w:val="2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5FF3"/>
    <w:pPr>
      <w:keepNext/>
      <w:keepLines/>
      <w:spacing w:before="80" w:after="40"/>
      <w:ind w:firstLineChars="0" w:firstLine="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C5FF3"/>
    <w:pPr>
      <w:keepNext/>
      <w:keepLines/>
      <w:spacing w:before="80" w:after="40"/>
      <w:ind w:firstLineChars="0" w:firstLine="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C5FF3"/>
    <w:pPr>
      <w:keepNext/>
      <w:keepLines/>
      <w:spacing w:before="40"/>
      <w:ind w:firstLineChars="0" w:firstLine="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C5FF3"/>
    <w:pPr>
      <w:keepNext/>
      <w:keepLines/>
      <w:spacing w:before="40"/>
      <w:ind w:firstLineChars="0" w:firstLine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C5FF3"/>
    <w:pPr>
      <w:keepNext/>
      <w:keepLines/>
      <w:ind w:firstLineChars="0" w:firstLine="0"/>
      <w:outlineLvl w:val="7"/>
    </w:pPr>
    <w:rPr>
      <w:rFonts w:asciiTheme="minorHAnsi" w:eastAsiaTheme="minorEastAsia" w:hAnsiTheme="minorHAnsi" w:cstheme="majorBidi"/>
      <w:color w:val="595959" w:themeColor="text1" w:themeTint="A6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C5FF3"/>
    <w:pPr>
      <w:keepNext/>
      <w:keepLines/>
      <w:ind w:firstLineChars="0" w:firstLine="0"/>
      <w:outlineLvl w:val="8"/>
    </w:pPr>
    <w:rPr>
      <w:rFonts w:asciiTheme="minorHAnsi" w:eastAsiaTheme="majorEastAsia" w:hAnsiTheme="minorHAnsi" w:cstheme="majorBidi"/>
      <w:color w:val="595959" w:themeColor="text1" w:themeTint="A6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C5FF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C5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C5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C5FF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C5FF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C5FF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C5FF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C5FF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C5FF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C5FF3"/>
    <w:pPr>
      <w:spacing w:after="80"/>
      <w:ind w:firstLineChars="0" w:firstLine="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C5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C5FF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C5F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C5FF3"/>
    <w:pPr>
      <w:spacing w:before="160" w:after="160"/>
      <w:ind w:firstLineChars="0" w:firstLine="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1C5FF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C5FF3"/>
    <w:pPr>
      <w:ind w:left="720" w:firstLineChars="0" w:firstLine="0"/>
      <w:contextualSpacing/>
    </w:pPr>
    <w:rPr>
      <w:rFonts w:asciiTheme="minorHAnsi" w:eastAsiaTheme="minorEastAsia" w:hAnsiTheme="minorHAnsi" w:cstheme="minorBidi"/>
      <w:sz w:val="21"/>
      <w:szCs w:val="22"/>
    </w:rPr>
  </w:style>
  <w:style w:type="character" w:styleId="aa">
    <w:name w:val="Intense Emphasis"/>
    <w:basedOn w:val="a0"/>
    <w:uiPriority w:val="21"/>
    <w:qFormat/>
    <w:rsid w:val="001C5FF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C5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 w:firstLineChars="0" w:firstLine="0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1C5FF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C5FF3"/>
    <w:rPr>
      <w:b/>
      <w:bCs/>
      <w:smallCaps/>
      <w:color w:val="0F4761" w:themeColor="accent1" w:themeShade="BF"/>
      <w:spacing w:val="5"/>
    </w:rPr>
  </w:style>
  <w:style w:type="paragraph" w:customStyle="1" w:styleId="ae">
    <w:name w:val="段"/>
    <w:next w:val="a"/>
    <w:qFormat/>
    <w:rsid w:val="00404909"/>
    <w:pPr>
      <w:autoSpaceDE w:val="0"/>
      <w:autoSpaceDN w:val="0"/>
      <w:ind w:firstLine="200"/>
      <w:jc w:val="both"/>
    </w:pPr>
    <w:rPr>
      <w:rFonts w:ascii="宋体" w:eastAsia="宋体" w:hAnsi="Calibri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Shuai Liu</dc:creator>
  <cp:keywords/>
  <dc:description/>
  <cp:lastModifiedBy>Shuai Liu</cp:lastModifiedBy>
  <cp:revision>2</cp:revision>
  <dcterms:created xsi:type="dcterms:W3CDTF">2025-11-07T01:24:00Z</dcterms:created>
  <dcterms:modified xsi:type="dcterms:W3CDTF">2025-11-07T01:24:00Z</dcterms:modified>
</cp:coreProperties>
</file>