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3"/>
        </w:tabs>
        <w:autoSpaceDE w:val="0"/>
        <w:autoSpaceDN w:val="0"/>
        <w:snapToGrid w:val="0"/>
        <w:spacing w:after="140" w:line="900" w:lineRule="exact"/>
        <w:ind w:left="227" w:right="227"/>
        <w:jc w:val="distribute"/>
        <w:rPr>
          <w:rFonts w:eastAsia="方正小标宋_GBK"/>
          <w:snapToGrid w:val="0"/>
          <w:color w:val="FF0000"/>
          <w:w w:val="73"/>
          <w:sz w:val="80"/>
          <w:szCs w:val="80"/>
        </w:rPr>
      </w:pPr>
      <w:r>
        <w:rPr>
          <w:rFonts w:eastAsia="汉鼎简大宋"/>
          <w:b/>
          <w:snapToGrid w:val="0"/>
          <w:color w:val="FF0000"/>
          <w:w w:val="73"/>
          <w:sz w:val="80"/>
          <w:szCs w:val="80"/>
        </w:rPr>
        <w:pict>
          <v:line id="_x0000_s1026" o:spid="_x0000_s1026" o:spt="20" style="position:absolute;left:0pt;margin-left:0pt;margin-top:54.55pt;height:0pt;width:442.2pt;z-index:251659264;mso-width-relative:page;mso-height-relative:page;" stroked="t" coordsize="21600,21600" o:gfxdata="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7O9a11AAAAAgBAAAPAAAAAAAAAAEAIAAAACIAAABkcnMvZG93bnJldi54bWxQ&#10;SwECFAAUAAAACACHTuJAd78R0vsBAADzAwAADgAAAAAAAAABACAAAAAjAQAAZHJzL2Uyb0RvYy54&#10;bWxQSwUGAAAAAAYABgBZAQAAkAUAAAAA&#10;">
            <v:path arrowok="t"/>
            <v:fill focussize="0,0"/>
            <v:stroke weight="2pt" color="#FF0000"/>
            <v:imagedata o:title=""/>
            <o:lock v:ext="edit"/>
          </v:line>
        </w:pict>
      </w:r>
      <w:r>
        <w:rPr>
          <w:rFonts w:eastAsia="方正小标宋_GBK"/>
          <w:snapToGrid w:val="0"/>
          <w:color w:val="FF0000"/>
          <w:w w:val="73"/>
          <w:sz w:val="80"/>
          <w:szCs w:val="80"/>
        </w:rPr>
        <w:t>江阴市</w:t>
      </w:r>
      <w:r>
        <w:rPr>
          <w:rFonts w:hint="eastAsia" w:eastAsia="方正小标宋_GBK"/>
          <w:snapToGrid w:val="0"/>
          <w:color w:val="FF0000"/>
          <w:w w:val="73"/>
          <w:sz w:val="80"/>
          <w:szCs w:val="80"/>
        </w:rPr>
        <w:t>数据局</w:t>
      </w:r>
    </w:p>
    <w:p>
      <w:pPr>
        <w:autoSpaceDE w:val="0"/>
        <w:autoSpaceDN w:val="0"/>
        <w:adjustRightInd w:val="0"/>
        <w:spacing w:line="0" w:lineRule="atLeast"/>
        <w:ind w:left="7875" w:right="-57"/>
        <w:jc w:val="center"/>
        <w:rPr>
          <w:b/>
          <w:snapToGrid w:val="0"/>
          <w:sz w:val="10"/>
          <w:szCs w:val="20"/>
        </w:rPr>
      </w:pPr>
    </w:p>
    <w:p>
      <w:pPr>
        <w:rPr>
          <w:snapToGrid w:val="0"/>
          <w:color w:val="000000"/>
          <w:szCs w:val="44"/>
        </w:rPr>
      </w:pPr>
    </w:p>
    <w:p>
      <w:pPr>
        <w:spacing w:line="0" w:lineRule="atLeast"/>
        <w:jc w:val="center"/>
        <w:rPr>
          <w:rFonts w:hint="eastAsia" w:eastAsia="方正小标宋_GBK" w:cs="Times New Roman"/>
          <w:spacing w:val="-8"/>
          <w:w w:val="95"/>
          <w:sz w:val="44"/>
          <w:szCs w:val="44"/>
        </w:rPr>
      </w:pPr>
      <w:r>
        <w:rPr>
          <w:rFonts w:hint="eastAsia" w:eastAsia="方正小标宋_GBK" w:cs="Times New Roman"/>
          <w:spacing w:val="-8"/>
          <w:w w:val="95"/>
          <w:sz w:val="44"/>
          <w:szCs w:val="44"/>
        </w:rPr>
        <w:t>关于江阴市第一届“澄信杯”工程招标代理</w:t>
      </w:r>
    </w:p>
    <w:p>
      <w:pPr>
        <w:spacing w:line="0" w:lineRule="atLeast"/>
        <w:jc w:val="center"/>
        <w:rPr>
          <w:rFonts w:eastAsia="方正小标宋_GBK" w:cs="Times New Roman"/>
          <w:spacing w:val="-8"/>
          <w:w w:val="95"/>
          <w:sz w:val="44"/>
          <w:szCs w:val="44"/>
        </w:rPr>
      </w:pPr>
      <w:r>
        <w:rPr>
          <w:rFonts w:hint="eastAsia" w:eastAsia="方正小标宋_GBK" w:cs="Times New Roman"/>
          <w:spacing w:val="-8"/>
          <w:w w:val="95"/>
          <w:sz w:val="44"/>
          <w:szCs w:val="44"/>
        </w:rPr>
        <w:t>从业人员知识竞赛优秀企业和优秀个人名单的通报</w:t>
      </w:r>
    </w:p>
    <w:p>
      <w:pPr>
        <w:rPr>
          <w:rFonts w:hint="eastAsia" w:cs="Times New Roman"/>
          <w:szCs w:val="32"/>
        </w:rPr>
      </w:pPr>
    </w:p>
    <w:p>
      <w:pPr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各工程招标代理机构：</w:t>
      </w:r>
    </w:p>
    <w:p>
      <w:pPr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我局于6月份举办了江阴市首届工程招标代理机构从业人员知识竞赛，活动共有</w:t>
      </w:r>
      <w:r>
        <w:rPr>
          <w:rFonts w:hint="eastAsia" w:cs="Times New Roman"/>
          <w:szCs w:val="32"/>
          <w:lang w:val="en-US" w:eastAsia="zh-CN"/>
        </w:rPr>
        <w:t>38</w:t>
      </w:r>
      <w:r>
        <w:rPr>
          <w:rFonts w:hint="eastAsia" w:cs="Times New Roman"/>
          <w:szCs w:val="32"/>
        </w:rPr>
        <w:t>家招标代理机构的128名从业人员参加，本次竞赛不仅为从业人员提供了一个展示自我、相互学习的平台，也是对从业人员专业技能的一次全面检阅，达到了“以赛促学、以赛促用、以赛促干”的效果。为激励先进、树立典型，我局决定对本次知识竞赛活动中取得优异成绩的6家企业和15名优秀个人予以通报表扬。</w:t>
      </w:r>
    </w:p>
    <w:p>
      <w:pPr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特此通报。</w:t>
      </w:r>
      <w:bookmarkStart w:id="0" w:name="_GoBack"/>
      <w:bookmarkEnd w:id="0"/>
    </w:p>
    <w:p>
      <w:pPr>
        <w:ind w:firstLine="632" w:firstLineChars="200"/>
        <w:rPr>
          <w:rFonts w:hint="eastAsia" w:cs="Times New Roman"/>
          <w:szCs w:val="32"/>
        </w:rPr>
      </w:pPr>
    </w:p>
    <w:p>
      <w:pPr>
        <w:ind w:left="1580" w:leftChars="200" w:hanging="948" w:hangingChars="3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附件：江阴市第一届“澄信杯”工程招标代理从业人员知识竞赛优秀企业和优秀个人名单</w:t>
      </w:r>
    </w:p>
    <w:p>
      <w:pPr>
        <w:ind w:firstLine="632" w:firstLineChars="200"/>
        <w:rPr>
          <w:rFonts w:hint="eastAsia"/>
          <w:szCs w:val="32"/>
        </w:rPr>
      </w:pPr>
    </w:p>
    <w:p>
      <w:pPr>
        <w:ind w:firstLine="3764" w:firstLineChars="1191"/>
        <w:jc w:val="center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江阴市数据局</w:t>
      </w:r>
    </w:p>
    <w:p>
      <w:pPr>
        <w:ind w:right="1264" w:rightChars="400"/>
        <w:jc w:val="right"/>
        <w:rPr>
          <w:rFonts w:eastAsia="方正黑体_GBK"/>
          <w:szCs w:val="32"/>
        </w:rPr>
      </w:pPr>
      <w:r>
        <w:rPr>
          <w:rFonts w:hint="eastAsia" w:cs="Times New Roman"/>
          <w:szCs w:val="32"/>
        </w:rPr>
        <w:t>2024年7月</w:t>
      </w:r>
      <w:r>
        <w:rPr>
          <w:rFonts w:hint="eastAsia" w:cs="Times New Roman"/>
          <w:szCs w:val="32"/>
          <w:lang w:val="en-US" w:eastAsia="zh-CN"/>
        </w:rPr>
        <w:t>3</w:t>
      </w:r>
      <w:r>
        <w:rPr>
          <w:rFonts w:hint="eastAsia" w:cs="Times New Roman"/>
          <w:szCs w:val="32"/>
        </w:rPr>
        <w:t>日</w:t>
      </w:r>
      <w:r>
        <w:rPr>
          <w:rFonts w:eastAsia="方正黑体_GBK"/>
          <w:szCs w:val="32"/>
        </w:rPr>
        <w:br w:type="page"/>
      </w:r>
    </w:p>
    <w:p>
      <w:pPr>
        <w:jc w:val="left"/>
        <w:rPr>
          <w:rFonts w:eastAsia="方正黑体_GBK"/>
          <w:szCs w:val="32"/>
        </w:rPr>
      </w:pPr>
      <w:r>
        <w:rPr>
          <w:rFonts w:hint="eastAsia" w:eastAsia="方正黑体_GBK"/>
          <w:szCs w:val="32"/>
        </w:rPr>
        <w:t>附件</w:t>
      </w:r>
    </w:p>
    <w:p>
      <w:pPr>
        <w:spacing w:line="0" w:lineRule="atLeast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江阴市第一届“澄信杯”工程招标代理</w:t>
      </w:r>
    </w:p>
    <w:p>
      <w:pPr>
        <w:spacing w:line="0" w:lineRule="atLeas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从业人员知识竞赛优秀企业和优秀个人名单</w:t>
      </w:r>
    </w:p>
    <w:p>
      <w:pPr>
        <w:ind w:firstLine="872" w:firstLineChars="200"/>
        <w:rPr>
          <w:rFonts w:hint="eastAsia"/>
          <w:sz w:val="44"/>
          <w:szCs w:val="44"/>
        </w:rPr>
      </w:pPr>
    </w:p>
    <w:p>
      <w:pPr>
        <w:spacing w:line="560" w:lineRule="exact"/>
        <w:ind w:left="632"/>
        <w:rPr>
          <w:rFonts w:hint="eastAsia" w:eastAsia="方正黑体_GBK"/>
          <w:szCs w:val="32"/>
        </w:rPr>
      </w:pPr>
      <w:r>
        <w:rPr>
          <w:rFonts w:hint="eastAsia" w:eastAsia="方正黑体_GBK"/>
          <w:szCs w:val="32"/>
        </w:rPr>
        <w:t>一、优秀企业</w:t>
      </w:r>
    </w:p>
    <w:p>
      <w:pPr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江阴方正建设工程造价事务所有限公司</w:t>
      </w:r>
    </w:p>
    <w:p>
      <w:pPr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江苏策诚工程咨询有限公司</w:t>
      </w:r>
    </w:p>
    <w:p>
      <w:pPr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正中国际项目管理集团有限公司</w:t>
      </w:r>
    </w:p>
    <w:p>
      <w:pPr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江苏中诚工程管理有限公司</w:t>
      </w:r>
    </w:p>
    <w:p>
      <w:pPr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江苏翔顺工程管理咨询有限公司</w:t>
      </w:r>
    </w:p>
    <w:p>
      <w:pPr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江苏嘉得成建设工程咨询有限公司</w:t>
      </w:r>
    </w:p>
    <w:p>
      <w:pPr>
        <w:spacing w:line="560" w:lineRule="exact"/>
        <w:ind w:firstLine="632" w:firstLineChars="200"/>
        <w:rPr>
          <w:rFonts w:hint="eastAsia" w:eastAsia="方正黑体_GBK"/>
          <w:szCs w:val="32"/>
        </w:rPr>
      </w:pPr>
      <w:r>
        <w:rPr>
          <w:rFonts w:hint="eastAsia" w:eastAsia="方正黑体_GBK"/>
          <w:szCs w:val="32"/>
        </w:rPr>
        <w:t>二、优秀个人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周  敏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江阴方正建设工程造价事务所有限公司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朱园洪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正中国际项目管理集团有限公司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王  梅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江阴方正建设工程造价事务所有限公司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王燕华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江苏策诚工程咨询有限公司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杜  伟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江苏中研工程设计有限公司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潘  蓉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中嘉工程管理咨询（江苏）有限公司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薛晓华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江苏嘉得成建设工程咨询有限公司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陈  刚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中嘉工程管理咨询（江苏）有限公司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李  丽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江苏翔顺工程管理咨询有限公司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楼双燕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江阴方正建设工程造价事务所有限公司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黄海飞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江苏恒泰建设工程咨询有限公司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束常佳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江苏中诚工程管理有限公司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吴  洁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江苏万源工程咨询有限公司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李忠祥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江苏中源工程管理股份有限公司</w:t>
      </w:r>
    </w:p>
    <w:p>
      <w:pPr>
        <w:tabs>
          <w:tab w:val="left" w:pos="2127"/>
        </w:tabs>
        <w:spacing w:line="560" w:lineRule="exact"/>
        <w:ind w:firstLine="632" w:firstLineChars="200"/>
        <w:rPr>
          <w:rFonts w:hint="eastAsia" w:cs="Times New Roman"/>
          <w:szCs w:val="32"/>
        </w:rPr>
      </w:pPr>
      <w:r>
        <w:rPr>
          <w:rFonts w:hint="eastAsia" w:cs="Times New Roman"/>
          <w:szCs w:val="32"/>
        </w:rPr>
        <w:t>祁璟璐</w:t>
      </w:r>
      <w:r>
        <w:rPr>
          <w:rFonts w:hint="eastAsia" w:cs="Times New Roman"/>
          <w:szCs w:val="32"/>
        </w:rPr>
        <w:tab/>
      </w:r>
      <w:r>
        <w:rPr>
          <w:rFonts w:hint="eastAsia" w:cs="Times New Roman"/>
          <w:szCs w:val="32"/>
        </w:rPr>
        <w:t>江苏省苏辰建设投资顾问有限公司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207454"/>
      <w:docPartObj>
        <w:docPartGallery w:val="autotext"/>
      </w:docPartObj>
    </w:sdtPr>
    <w:sdtEndPr>
      <w:rPr>
        <w:rFonts w:ascii="宋体" w:eastAsia="宋体"/>
        <w:sz w:val="28"/>
        <w:szCs w:val="28"/>
      </w:rPr>
    </w:sdtEndPr>
    <w:sdtContent>
      <w:p>
        <w:pPr>
          <w:pStyle w:val="3"/>
          <w:snapToGrid/>
          <w:ind w:right="320" w:rightChars="100"/>
          <w:jc w:val="right"/>
          <w:rPr>
            <w:rFonts w:ascii="宋体" w:eastAsia="宋体"/>
            <w:sz w:val="28"/>
            <w:szCs w:val="28"/>
          </w:rPr>
        </w:pPr>
        <w:r>
          <w:rPr>
            <w:rFonts w:hint="eastAsia" w:ascii="宋体" w:eastAsia="宋体"/>
            <w:sz w:val="28"/>
            <w:szCs w:val="28"/>
          </w:rPr>
          <w:t xml:space="preserve">— </w:t>
        </w:r>
        <w:r>
          <w:rPr>
            <w:rFonts w:ascii="宋体" w:eastAsia="宋体"/>
            <w:sz w:val="28"/>
            <w:szCs w:val="28"/>
          </w:rPr>
          <w:fldChar w:fldCharType="begin"/>
        </w:r>
        <w:r>
          <w:rPr>
            <w:rFonts w:asci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/>
            <w:sz w:val="28"/>
            <w:szCs w:val="28"/>
          </w:rPr>
          <w:fldChar w:fldCharType="separate"/>
        </w:r>
        <w:r>
          <w:rPr>
            <w:rFonts w:ascii="宋体" w:eastAsia="宋体"/>
            <w:sz w:val="28"/>
            <w:szCs w:val="28"/>
            <w:lang w:val="zh-CN"/>
          </w:rPr>
          <w:t>3</w:t>
        </w:r>
        <w:r>
          <w:rPr>
            <w:rFonts w:ascii="宋体" w:eastAsia="宋体"/>
            <w:sz w:val="28"/>
            <w:szCs w:val="28"/>
          </w:rPr>
          <w:fldChar w:fldCharType="end"/>
        </w:r>
        <w:r>
          <w:rPr>
            <w:rFonts w:hint="eastAsia" w:asci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170388"/>
      <w:docPartObj>
        <w:docPartGallery w:val="autotext"/>
      </w:docPartObj>
    </w:sdtPr>
    <w:sdtContent>
      <w:p>
        <w:pPr>
          <w:pStyle w:val="3"/>
          <w:snapToGrid/>
          <w:ind w:left="320" w:leftChars="100"/>
        </w:pPr>
        <w:r>
          <w:rPr>
            <w:rFonts w:hint="eastAsia" w:ascii="宋体" w:eastAsia="宋体"/>
            <w:sz w:val="28"/>
          </w:rPr>
          <w:t xml:space="preserve">— </w:t>
        </w:r>
        <w:r>
          <w:rPr>
            <w:rFonts w:ascii="宋体" w:eastAsia="宋体"/>
            <w:sz w:val="28"/>
          </w:rPr>
          <w:fldChar w:fldCharType="begin"/>
        </w:r>
        <w:r>
          <w:rPr>
            <w:rFonts w:ascii="宋体" w:eastAsia="宋体"/>
            <w:sz w:val="28"/>
          </w:rPr>
          <w:instrText xml:space="preserve"> PAGE   \* MERGEFORMAT </w:instrText>
        </w:r>
        <w:r>
          <w:rPr>
            <w:rFonts w:ascii="宋体" w:eastAsia="宋体"/>
            <w:sz w:val="28"/>
          </w:rPr>
          <w:fldChar w:fldCharType="separate"/>
        </w:r>
        <w:r>
          <w:rPr>
            <w:rFonts w:ascii="宋体" w:eastAsia="宋体"/>
            <w:sz w:val="28"/>
            <w:lang w:val="zh-CN"/>
          </w:rPr>
          <w:t>2</w:t>
        </w:r>
        <w:r>
          <w:rPr>
            <w:rFonts w:ascii="宋体" w:eastAsia="宋体"/>
            <w:sz w:val="28"/>
          </w:rPr>
          <w:fldChar w:fldCharType="end"/>
        </w:r>
        <w:r>
          <w:rPr>
            <w:rFonts w:hint="eastAsia" w:ascii="宋体" w:eastAsia="宋体"/>
            <w:sz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documentProtection w:enforcement="0"/>
  <w:defaultTabStop w:val="420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FlNDcyOTZjOWEyNWE2MWExZjNjY2Q0NWFkOGUxZWQifQ=="/>
  </w:docVars>
  <w:rsids>
    <w:rsidRoot w:val="543127BC"/>
    <w:rsid w:val="00331717"/>
    <w:rsid w:val="00426713"/>
    <w:rsid w:val="00450300"/>
    <w:rsid w:val="0089440A"/>
    <w:rsid w:val="008D3489"/>
    <w:rsid w:val="00AA0C0D"/>
    <w:rsid w:val="00AE5B70"/>
    <w:rsid w:val="00B65106"/>
    <w:rsid w:val="00C23975"/>
    <w:rsid w:val="00C43725"/>
    <w:rsid w:val="0FDF3286"/>
    <w:rsid w:val="18BE612E"/>
    <w:rsid w:val="1FCB7383"/>
    <w:rsid w:val="24B2466D"/>
    <w:rsid w:val="266F6CBA"/>
    <w:rsid w:val="2A027E45"/>
    <w:rsid w:val="2C622E1D"/>
    <w:rsid w:val="3143321D"/>
    <w:rsid w:val="39EF3F42"/>
    <w:rsid w:val="3F917849"/>
    <w:rsid w:val="4383394D"/>
    <w:rsid w:val="444C01E3"/>
    <w:rsid w:val="44C304A5"/>
    <w:rsid w:val="4E3E6DEE"/>
    <w:rsid w:val="4E577EB0"/>
    <w:rsid w:val="5305612D"/>
    <w:rsid w:val="53205586"/>
    <w:rsid w:val="543127BC"/>
    <w:rsid w:val="5A9A44ED"/>
    <w:rsid w:val="68565CBD"/>
    <w:rsid w:val="6D282CEC"/>
    <w:rsid w:val="6DF80910"/>
    <w:rsid w:val="706A1C36"/>
    <w:rsid w:val="751F2C26"/>
    <w:rsid w:val="78992CEF"/>
    <w:rsid w:val="798E037A"/>
    <w:rsid w:val="7ACE4E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21"/>
    <w:basedOn w:val="7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9">
    <w:name w:val="font11"/>
    <w:basedOn w:val="7"/>
    <w:uiPriority w:val="0"/>
    <w:rPr>
      <w:rFonts w:hint="default" w:ascii="方正书宋_GBK" w:hAnsi="方正书宋_GBK" w:eastAsia="方正书宋_GBK" w:cs="方正书宋_GBK"/>
      <w:color w:val="000000"/>
      <w:sz w:val="22"/>
      <w:szCs w:val="22"/>
      <w:u w:val="none"/>
    </w:rPr>
  </w:style>
  <w:style w:type="character" w:customStyle="1" w:styleId="10">
    <w:name w:val="页眉 Char"/>
    <w:basedOn w:val="7"/>
    <w:link w:val="4"/>
    <w:uiPriority w:val="0"/>
    <w:rPr>
      <w:rFonts w:eastAsia="方正仿宋_GBK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eastAsia="方正仿宋_GBK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uiPriority w:val="0"/>
    <w:rPr>
      <w:rFonts w:eastAsia="方正仿宋_GBK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676</Words>
  <Characters>683</Characters>
  <Lines>5</Lines>
  <Paragraphs>1</Paragraphs>
  <TotalTime>11</TotalTime>
  <ScaleCrop>false</ScaleCrop>
  <LinksUpToDate>false</LinksUpToDate>
  <CharactersWithSpaces>712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2024-07-01T06:46:00Z</dcterms:created>
  <dc:creator>Elsababy</dc:creator>
  <cp:lastModifiedBy>Elsababy</cp:lastModifiedBy>
  <dcterms:modified xsi:type="dcterms:W3CDTF">2024-07-03T00:50:05Z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87EAEE1687B644A886265CEFD535D727_11</vt:lpwstr>
  </property>
</Properties>
</file>