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" w:line="574" w:lineRule="exact"/>
        <w:ind w:left="120"/>
        <w:rPr>
          <w:rFonts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7</w:t>
      </w:r>
    </w:p>
    <w:p>
      <w:pPr>
        <w:spacing w:before="2" w:line="574" w:lineRule="exact"/>
        <w:rPr>
          <w:rFonts w:ascii="宋体" w:hAnsi="宋体" w:eastAsia="宋体" w:cs="宋体"/>
          <w:sz w:val="27"/>
          <w:szCs w:val="27"/>
          <w:lang w:eastAsia="zh-CN"/>
        </w:rPr>
      </w:pPr>
    </w:p>
    <w:p>
      <w:pPr>
        <w:spacing w:line="574" w:lineRule="exact"/>
        <w:jc w:val="center"/>
        <w:rPr>
          <w:rFonts w:ascii="方正小标宋_GBK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江苏省政府专项债券项目绩效自评价报告</w:t>
      </w: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一、项目情况</w:t>
      </w:r>
    </w:p>
    <w:p>
      <w:pPr>
        <w:spacing w:line="574" w:lineRule="exact"/>
        <w:ind w:firstLine="584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（一）项目概况：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（即江阴第二过江通道）是规划批复的长江锡常泰区段6条过江通道之一，重点支撑锡常泰组团跨江融合发展，强化两岸经济产业分工协作。本项目为江阴靖江长江隧道南接线工程，项目位于江阴市，其建设不仅与江阴靖江长江隧道共同构成江阴大桥的分流通道，缓解江阴大桥的交通压力，同时也能够衔接地方快速路网系统，助推江阴城镇与产业快速发展。</w:t>
      </w:r>
    </w:p>
    <w:p>
      <w:pPr>
        <w:spacing w:line="574" w:lineRule="exact"/>
        <w:ind w:firstLine="600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工程是规划批复的长江锡常泰区段6条过江通道之一，重点支撑锡常泰组团跨江融合发展，强化两岸经济产业分工协作。本项目作为S90的重要组成部分，连接过江通道与沪武高速，其实施有利于实现长江南北高速公路网络的互联互通，有效提升高速公路网的整体运行效率；项目建成后能够优化完善长江泰州区段过江通道布局，分担江阴大桥的交通压力，缓解江阴大桥的拥堵，满足过江交通出行需求。极大地推动锡常泰组团、锡澄和靖澄的优势资源整合、区域设施共享、相关产业协作，促进跨江一体化发展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工程已于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20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22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年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12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月开工，建设周期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3年，计划2025年12月建成通车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。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项目总投资估算约85.06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亿元，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其中资本金50%，其余为银行贷款。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（二）绩效目标：</w:t>
      </w:r>
    </w:p>
    <w:p>
      <w:pPr>
        <w:spacing w:line="574" w:lineRule="exact"/>
        <w:ind w:firstLine="600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（1）总体目标：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江阴靖江长江隧道南接线工程按施工进度计划实施，于2025年底建成通车。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（2）本年度</w:t>
      </w:r>
      <w:r>
        <w:rPr>
          <w:rFonts w:hint="eastAsia" w:ascii="方正仿宋_GBK" w:eastAsia="方正仿宋_GBK"/>
          <w:sz w:val="30"/>
          <w:szCs w:val="30"/>
          <w:lang w:eastAsia="zh-CN"/>
        </w:rPr>
        <w:t>目标：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1、完成项目建设前期工作(完成房屋征拆、管钱迁改等各项前期工作)；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2、项目施工进度约40%(完成主体结构中桥梁部分下部结构、道路部分路基施工)。</w:t>
      </w: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二、评价情况</w:t>
      </w:r>
    </w:p>
    <w:p>
      <w:pPr>
        <w:spacing w:line="574" w:lineRule="exact"/>
        <w:ind w:firstLine="584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（一）项目特点分析：本项目为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江阴靖江长江隧道的南接线工程，目前主隧道已经开展施工，为充分发挥江阴靖江长江隧道的服务能力与社会效益，江阴靖江长江隧道南接线的建设迫在眉睫。</w:t>
      </w:r>
    </w:p>
    <w:p>
      <w:pPr>
        <w:spacing w:line="574" w:lineRule="exact"/>
        <w:ind w:firstLine="600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（二）评价思路方法。绩效评价采用定量与定性相结合、项目实施单位自评与工作小组评价相结合，运用比较法、专家评议和公众评议等方法进行评价。</w:t>
      </w:r>
    </w:p>
    <w:p>
      <w:pPr>
        <w:spacing w:line="574" w:lineRule="exact"/>
        <w:ind w:firstLine="600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1、跟踪考查。从实施评价的方法来看，</w:t>
      </w:r>
      <w:commentRangeStart w:id="0"/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高速公路设计、施工工作经验比较丰富，</w:t>
      </w:r>
      <w:commentRangeEnd w:id="0"/>
      <w:r>
        <w:commentReference w:id="0"/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管理比较规范，日常管理数据的收集比较齐全，可以充分利用设计、施工单位资料，结合项目管理单位的日常考查，并作为对项目评价的依据之一。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pacing w:val="-4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2、现场考查。根据评价指标及评价工作要求，到评价现场采取</w:t>
      </w:r>
      <w:bookmarkStart w:id="0" w:name="_GoBack"/>
      <w:bookmarkEnd w:id="0"/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勘察、询查、复核等方式收集、整理数据和资料，包括评价对象的基本情况、财政资金使用情况、评价指标体系需要的相关资料等。根据基础资料，核实数据的全面性、真实性以及指标口径的一致性，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并对所掌握的有关信息资料采用相关方法进行分类、整理和分析，根据评价标准进行打分。</w:t>
      </w:r>
    </w:p>
    <w:p>
      <w:pPr>
        <w:spacing w:line="574" w:lineRule="exact"/>
        <w:ind w:firstLine="584" w:firstLineChars="200"/>
        <w:jc w:val="both"/>
        <w:rPr>
          <w:rFonts w:ascii="方正仿宋_GBK" w:hAnsi="Calibri" w:eastAsia="方正仿宋_GBK" w:cs="Times New Roman"/>
          <w:sz w:val="30"/>
          <w:szCs w:val="30"/>
          <w:lang w:eastAsia="zh-CN"/>
        </w:rPr>
      </w:pP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（三）评价工作情况：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根据跟踪考查</w:t>
      </w: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及现场考查结果的反馈，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江阴靖江长江隧道南接线工程项目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各指标分析如下：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1</w:t>
      </w:r>
      <w:r>
        <w:rPr>
          <w:rFonts w:ascii="方正仿宋_GBK" w:eastAsia="方正仿宋_GBK"/>
          <w:sz w:val="30"/>
          <w:szCs w:val="30"/>
          <w:lang w:eastAsia="zh-CN"/>
        </w:rPr>
        <w:t>.过程管理有效。指标分值为</w:t>
      </w:r>
      <w:r>
        <w:rPr>
          <w:rFonts w:hint="eastAsia" w:ascii="方正仿宋_GBK" w:eastAsia="方正仿宋_GBK"/>
          <w:sz w:val="30"/>
          <w:szCs w:val="30"/>
          <w:lang w:eastAsia="zh-CN"/>
        </w:rPr>
        <w:t>20</w:t>
      </w:r>
      <w:r>
        <w:rPr>
          <w:rFonts w:ascii="方正仿宋_GBK" w:eastAsia="方正仿宋_GBK"/>
          <w:sz w:val="30"/>
          <w:szCs w:val="30"/>
          <w:lang w:eastAsia="zh-CN"/>
        </w:rPr>
        <w:t>分，评价得分</w:t>
      </w:r>
      <w:r>
        <w:rPr>
          <w:rFonts w:hint="eastAsia" w:ascii="方正仿宋_GBK" w:eastAsia="方正仿宋_GBK"/>
          <w:sz w:val="30"/>
          <w:szCs w:val="30"/>
          <w:lang w:eastAsia="zh-CN"/>
        </w:rPr>
        <w:t>20</w:t>
      </w:r>
      <w:r>
        <w:rPr>
          <w:rFonts w:ascii="方正仿宋_GBK" w:eastAsia="方正仿宋_GBK"/>
          <w:sz w:val="30"/>
          <w:szCs w:val="30"/>
          <w:lang w:eastAsia="zh-CN"/>
        </w:rPr>
        <w:t>分，得分率</w:t>
      </w:r>
      <w:r>
        <w:rPr>
          <w:rFonts w:hint="eastAsia" w:ascii="方正仿宋_GBK" w:eastAsia="方正仿宋_GBK"/>
          <w:sz w:val="30"/>
          <w:szCs w:val="30"/>
          <w:lang w:eastAsia="zh-CN"/>
        </w:rPr>
        <w:t>100</w:t>
      </w:r>
      <w:r>
        <w:rPr>
          <w:rFonts w:ascii="方正仿宋_GBK" w:eastAsia="方正仿宋_GBK"/>
          <w:sz w:val="30"/>
          <w:szCs w:val="30"/>
          <w:lang w:eastAsia="zh-CN"/>
        </w:rPr>
        <w:t>%。专项债资金到位足额、及时，预算执行率100%；资金审批及使用符合规范</w:t>
      </w:r>
      <w:r>
        <w:rPr>
          <w:rFonts w:hint="eastAsia" w:ascii="方正仿宋_GBK" w:eastAsia="方正仿宋_GBK"/>
          <w:sz w:val="30"/>
          <w:szCs w:val="30"/>
          <w:lang w:eastAsia="zh-CN"/>
        </w:rPr>
        <w:t>，</w:t>
      </w:r>
      <w:r>
        <w:rPr>
          <w:rFonts w:ascii="方正仿宋_GBK" w:eastAsia="方正仿宋_GBK"/>
          <w:sz w:val="30"/>
          <w:szCs w:val="30"/>
          <w:lang w:eastAsia="zh-CN"/>
        </w:rPr>
        <w:t>管理制度健全</w:t>
      </w:r>
      <w:r>
        <w:rPr>
          <w:rFonts w:hint="eastAsia" w:ascii="方正仿宋_GBK" w:eastAsia="方正仿宋_GBK"/>
          <w:sz w:val="30"/>
          <w:szCs w:val="30"/>
          <w:lang w:eastAsia="zh-CN"/>
        </w:rPr>
        <w:t>，</w:t>
      </w:r>
      <w:r>
        <w:rPr>
          <w:rFonts w:ascii="方正仿宋_GBK" w:eastAsia="方正仿宋_GBK"/>
          <w:sz w:val="30"/>
          <w:szCs w:val="30"/>
          <w:lang w:eastAsia="zh-CN"/>
        </w:rPr>
        <w:t>执行到位</w:t>
      </w:r>
      <w:r>
        <w:rPr>
          <w:rFonts w:hint="eastAsia" w:ascii="方正仿宋_GBK" w:eastAsia="方正仿宋_GBK"/>
          <w:sz w:val="30"/>
          <w:szCs w:val="30"/>
          <w:lang w:eastAsia="zh-CN"/>
        </w:rPr>
        <w:t>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2</w:t>
      </w:r>
      <w:r>
        <w:rPr>
          <w:rFonts w:ascii="方正仿宋_GBK" w:eastAsia="方正仿宋_GBK"/>
          <w:sz w:val="30"/>
          <w:szCs w:val="30"/>
          <w:lang w:eastAsia="zh-CN"/>
        </w:rPr>
        <w:t>项目产出目标</w:t>
      </w:r>
      <w:r>
        <w:rPr>
          <w:rFonts w:hint="eastAsia" w:ascii="方正仿宋_GBK" w:eastAsia="方正仿宋_GBK"/>
          <w:sz w:val="30"/>
          <w:szCs w:val="30"/>
          <w:lang w:eastAsia="zh-CN"/>
        </w:rPr>
        <w:t>全部</w:t>
      </w:r>
      <w:r>
        <w:rPr>
          <w:rFonts w:ascii="方正仿宋_GBK" w:eastAsia="方正仿宋_GBK"/>
          <w:sz w:val="30"/>
          <w:szCs w:val="30"/>
          <w:lang w:eastAsia="zh-CN"/>
        </w:rPr>
        <w:t>按计划完成。指标分值为</w:t>
      </w:r>
      <w:r>
        <w:rPr>
          <w:rFonts w:hint="eastAsia" w:ascii="方正仿宋_GBK" w:eastAsia="方正仿宋_GBK"/>
          <w:sz w:val="30"/>
          <w:szCs w:val="30"/>
          <w:lang w:eastAsia="zh-CN"/>
        </w:rPr>
        <w:t>40</w:t>
      </w:r>
      <w:r>
        <w:rPr>
          <w:rFonts w:ascii="方正仿宋_GBK" w:eastAsia="方正仿宋_GBK"/>
          <w:sz w:val="30"/>
          <w:szCs w:val="30"/>
          <w:lang w:eastAsia="zh-CN"/>
        </w:rPr>
        <w:t>分，评价得分</w:t>
      </w:r>
      <w:r>
        <w:rPr>
          <w:rFonts w:hint="eastAsia" w:ascii="方正仿宋_GBK" w:eastAsia="方正仿宋_GBK"/>
          <w:sz w:val="30"/>
          <w:szCs w:val="30"/>
          <w:lang w:eastAsia="zh-CN"/>
        </w:rPr>
        <w:t>39</w:t>
      </w:r>
      <w:r>
        <w:rPr>
          <w:rFonts w:ascii="方正仿宋_GBK" w:eastAsia="方正仿宋_GBK"/>
          <w:sz w:val="30"/>
          <w:szCs w:val="30"/>
          <w:lang w:eastAsia="zh-CN"/>
        </w:rPr>
        <w:t>分，得分率</w:t>
      </w:r>
      <w:r>
        <w:rPr>
          <w:rFonts w:hint="eastAsia" w:ascii="方正仿宋_GBK" w:eastAsia="方正仿宋_GBK"/>
          <w:sz w:val="30"/>
          <w:szCs w:val="30"/>
          <w:lang w:eastAsia="zh-CN"/>
        </w:rPr>
        <w:t>97.5</w:t>
      </w:r>
      <w:r>
        <w:rPr>
          <w:rFonts w:ascii="方正仿宋_GBK" w:eastAsia="方正仿宋_GBK"/>
          <w:sz w:val="30"/>
          <w:szCs w:val="30"/>
          <w:lang w:eastAsia="zh-CN"/>
        </w:rPr>
        <w:t>%。</w:t>
      </w:r>
      <w:r>
        <w:rPr>
          <w:rFonts w:hint="eastAsia" w:ascii="方正仿宋_GBK" w:eastAsia="方正仿宋_GBK"/>
          <w:sz w:val="30"/>
          <w:szCs w:val="30"/>
          <w:lang w:eastAsia="zh-CN"/>
        </w:rPr>
        <w:t>项目已完成项目建设的主要前期工作，包括前期的土地征收、房屋拆迁、杆管线迁改等各项工作。目前已完成施工进度的约50%，部分路段已开始桥梁上部结构施工。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3</w:t>
      </w:r>
      <w:r>
        <w:rPr>
          <w:rFonts w:ascii="方正仿宋_GBK" w:eastAsia="方正仿宋_GBK"/>
          <w:sz w:val="30"/>
          <w:szCs w:val="30"/>
          <w:lang w:eastAsia="zh-CN"/>
        </w:rPr>
        <w:t>.项目实施效益较明显。指标分值为</w:t>
      </w:r>
      <w:r>
        <w:rPr>
          <w:rFonts w:hint="eastAsia" w:ascii="方正仿宋_GBK" w:eastAsia="方正仿宋_GBK"/>
          <w:sz w:val="30"/>
          <w:szCs w:val="30"/>
          <w:lang w:eastAsia="zh-CN"/>
        </w:rPr>
        <w:t>32</w:t>
      </w:r>
      <w:r>
        <w:rPr>
          <w:rFonts w:ascii="方正仿宋_GBK" w:eastAsia="方正仿宋_GBK"/>
          <w:sz w:val="30"/>
          <w:szCs w:val="30"/>
          <w:lang w:eastAsia="zh-CN"/>
        </w:rPr>
        <w:t>分，评价得分</w:t>
      </w:r>
      <w:r>
        <w:rPr>
          <w:rFonts w:hint="eastAsia" w:ascii="方正仿宋_GBK" w:eastAsia="方正仿宋_GBK"/>
          <w:sz w:val="30"/>
          <w:szCs w:val="30"/>
          <w:lang w:eastAsia="zh-CN"/>
        </w:rPr>
        <w:t>32</w:t>
      </w:r>
      <w:r>
        <w:rPr>
          <w:rFonts w:ascii="方正仿宋_GBK" w:eastAsia="方正仿宋_GBK"/>
          <w:sz w:val="30"/>
          <w:szCs w:val="30"/>
          <w:lang w:eastAsia="zh-CN"/>
        </w:rPr>
        <w:t>分，得分率</w:t>
      </w:r>
      <w:r>
        <w:rPr>
          <w:rFonts w:hint="eastAsia" w:ascii="方正仿宋_GBK" w:eastAsia="方正仿宋_GBK"/>
          <w:sz w:val="30"/>
          <w:szCs w:val="30"/>
          <w:lang w:eastAsia="zh-CN"/>
        </w:rPr>
        <w:t>100</w:t>
      </w:r>
      <w:r>
        <w:rPr>
          <w:rFonts w:ascii="方正仿宋_GBK" w:eastAsia="方正仿宋_GBK"/>
          <w:sz w:val="30"/>
          <w:szCs w:val="30"/>
          <w:lang w:eastAsia="zh-CN"/>
        </w:rPr>
        <w:t>%。</w:t>
      </w:r>
      <w:r>
        <w:rPr>
          <w:rFonts w:hint="eastAsia" w:ascii="方正仿宋_GBK" w:eastAsia="方正仿宋_GBK"/>
          <w:sz w:val="30"/>
          <w:szCs w:val="30"/>
          <w:lang w:eastAsia="zh-CN"/>
        </w:rPr>
        <w:t>江阴靖江长江隧道南接线设计时速100km/h，起于江阴芙蓉大道，止于沪武高速。本项目建设后能够优化完善长江泰州区段过江通道布局，分担江阴大桥的交通压力，缓解江阴大桥的拥堵，满足过江交通出行需求。极大促进区域优势资源整合、设施共享、相关产业协作，促进跨江一体化发展，增加就业机会。全线采用围挡封闭施工，施工过程采取安装自动喷淋系统、入口处设置洗车池、施工时开启雾炮、洒水车定期洒水等措施洒水降尘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4.市民对项目实施满意度较高。</w:t>
      </w:r>
      <w:r>
        <w:rPr>
          <w:rFonts w:ascii="方正仿宋_GBK" w:eastAsia="方正仿宋_GBK"/>
          <w:sz w:val="30"/>
          <w:szCs w:val="30"/>
          <w:lang w:eastAsia="zh-CN"/>
        </w:rPr>
        <w:t>指标分值为</w:t>
      </w:r>
      <w:r>
        <w:rPr>
          <w:rFonts w:hint="eastAsia" w:ascii="方正仿宋_GBK" w:eastAsia="方正仿宋_GBK"/>
          <w:sz w:val="30"/>
          <w:szCs w:val="30"/>
          <w:lang w:eastAsia="zh-CN"/>
        </w:rPr>
        <w:t>8</w:t>
      </w:r>
      <w:r>
        <w:rPr>
          <w:rFonts w:ascii="方正仿宋_GBK" w:eastAsia="方正仿宋_GBK"/>
          <w:sz w:val="30"/>
          <w:szCs w:val="30"/>
          <w:lang w:eastAsia="zh-CN"/>
        </w:rPr>
        <w:t>分，评价得分</w:t>
      </w:r>
      <w:r>
        <w:rPr>
          <w:rFonts w:hint="eastAsia" w:ascii="方正仿宋_GBK" w:eastAsia="方正仿宋_GBK"/>
          <w:sz w:val="30"/>
          <w:szCs w:val="30"/>
          <w:lang w:eastAsia="zh-CN"/>
        </w:rPr>
        <w:t>8</w:t>
      </w:r>
      <w:r>
        <w:rPr>
          <w:rFonts w:ascii="方正仿宋_GBK" w:eastAsia="方正仿宋_GBK"/>
          <w:sz w:val="30"/>
          <w:szCs w:val="30"/>
          <w:lang w:eastAsia="zh-CN"/>
        </w:rPr>
        <w:t>分，得分率</w:t>
      </w:r>
      <w:r>
        <w:rPr>
          <w:rFonts w:hint="eastAsia" w:ascii="方正仿宋_GBK" w:eastAsia="方正仿宋_GBK"/>
          <w:sz w:val="30"/>
          <w:szCs w:val="30"/>
          <w:lang w:eastAsia="zh-CN"/>
        </w:rPr>
        <w:t>100</w:t>
      </w:r>
      <w:r>
        <w:rPr>
          <w:rFonts w:ascii="方正仿宋_GBK" w:eastAsia="方正仿宋_GBK"/>
          <w:sz w:val="30"/>
          <w:szCs w:val="30"/>
          <w:lang w:eastAsia="zh-CN"/>
        </w:rPr>
        <w:t>%。</w:t>
      </w:r>
      <w:r>
        <w:rPr>
          <w:rFonts w:hint="eastAsia" w:ascii="方正仿宋_GBK" w:eastAsia="方正仿宋_GBK"/>
          <w:sz w:val="30"/>
          <w:szCs w:val="30"/>
          <w:lang w:eastAsia="zh-CN"/>
        </w:rPr>
        <w:t>沿线居民通过广播电视、网络等途径知晓本项目，99.4%的市民都支持本项目的建设，期待本项目能够早日建成通车。项目运营单位也就本项目方案表示完全支持和赞同。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方正仿宋_GBK" w:eastAsia="方正仿宋_GBK"/>
          <w:sz w:val="30"/>
          <w:szCs w:val="30"/>
          <w:lang w:eastAsia="zh-CN"/>
        </w:rPr>
        <w:t>（四）绩效评价结论。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江阴靖江长江隧道南接线工程项目实施比较规范，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专项债发行与管理符合地方政府债券发行及管理要求，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江阴靖江长江隧道南接线工程项目</w:t>
      </w:r>
      <w:r>
        <w:rPr>
          <w:rFonts w:hint="eastAsia" w:ascii="方正仿宋_GBK" w:eastAsia="方正仿宋_GBK"/>
          <w:sz w:val="30"/>
          <w:szCs w:val="30"/>
          <w:lang w:eastAsia="zh-CN"/>
        </w:rPr>
        <w:t>绩效评价的自评分99分，</w:t>
      </w:r>
      <w:r>
        <w:rPr>
          <w:rFonts w:ascii="方正仿宋_GBK" w:eastAsia="方正仿宋_GBK"/>
          <w:sz w:val="30"/>
          <w:szCs w:val="30"/>
          <w:lang w:eastAsia="zh-CN"/>
        </w:rPr>
        <w:t>综合评价等级为“</w:t>
      </w:r>
      <w:r>
        <w:rPr>
          <w:rFonts w:hint="eastAsia" w:ascii="方正仿宋_GBK" w:eastAsia="方正仿宋_GBK"/>
          <w:sz w:val="30"/>
          <w:szCs w:val="30"/>
          <w:lang w:eastAsia="zh-CN"/>
        </w:rPr>
        <w:t>优</w:t>
      </w:r>
      <w:r>
        <w:rPr>
          <w:rFonts w:ascii="方正仿宋_GBK" w:eastAsia="方正仿宋_GBK"/>
          <w:sz w:val="30"/>
          <w:szCs w:val="30"/>
          <w:lang w:eastAsia="zh-CN"/>
        </w:rPr>
        <w:t>”</w:t>
      </w:r>
      <w:r>
        <w:rPr>
          <w:rFonts w:hint="eastAsia" w:ascii="方正仿宋_GBK" w:eastAsia="方正仿宋_GBK"/>
          <w:sz w:val="30"/>
          <w:szCs w:val="30"/>
          <w:lang w:eastAsia="zh-CN"/>
        </w:rPr>
        <w:t>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pacing w:val="-15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三、项目绩效。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项目实施考查采用跟踪考查和现场考查相结合的方式进行。高速公路设计、施工工作经验比较丰富，管理比较规范，日常管理数据的收集比较齐全，利用施工单位资料，结合项目管理单位的日常考查，可以对项目实施情况有比较清晰的认识。现场采取勘察、询查、复核等方式收集、整理数据和资料，包括评价对象的基本情况、财政资金使用情况、评价指标体系需要的相关资料等。根据基础资料，核实数据的全面性、真实性以及指标口径的一致性，</w:t>
      </w:r>
      <w:r>
        <w:rPr>
          <w:rFonts w:ascii="方正仿宋_GBK" w:hAnsi="Calibri" w:eastAsia="方正仿宋_GBK" w:cs="Times New Roman"/>
          <w:sz w:val="30"/>
          <w:szCs w:val="30"/>
          <w:lang w:eastAsia="zh-CN"/>
        </w:rPr>
        <w:t>对所掌握的有关信息资料采用相关方法进行分类、整理和分析</w:t>
      </w:r>
      <w:r>
        <w:rPr>
          <w:rFonts w:hint="eastAsia" w:ascii="方正仿宋_GBK" w:hAnsi="Calibri" w:eastAsia="方正仿宋_GBK" w:cs="Times New Roman"/>
          <w:sz w:val="30"/>
          <w:szCs w:val="30"/>
          <w:lang w:eastAsia="zh-CN"/>
        </w:rPr>
        <w:t>。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四、存在问题。</w:t>
      </w: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暂无</w:t>
      </w:r>
      <w:r>
        <w:rPr>
          <w:rFonts w:hint="eastAsia" w:ascii="方正仿宋_GBK" w:eastAsia="方正仿宋_GBK"/>
          <w:sz w:val="30"/>
          <w:szCs w:val="30"/>
          <w:lang w:eastAsia="zh-CN"/>
        </w:rPr>
        <w:t>。</w:t>
      </w: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五、有关建议。</w:t>
      </w:r>
      <w:r>
        <w:rPr>
          <w:rFonts w:hint="eastAsia" w:ascii="方正仿宋_GBK" w:eastAsia="方正仿宋_GBK"/>
          <w:spacing w:val="-4"/>
          <w:sz w:val="30"/>
          <w:szCs w:val="30"/>
          <w:lang w:eastAsia="zh-CN"/>
        </w:rPr>
        <w:t>继续保持对该项目的跟踪考查及不定期的现场考查，确保项目实施规范有序。</w:t>
      </w: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六、相关信息。</w:t>
      </w: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</w:p>
    <w:p>
      <w:pPr>
        <w:spacing w:line="574" w:lineRule="exact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</w:p>
    <w:p>
      <w:pPr>
        <w:spacing w:line="574" w:lineRule="exact"/>
        <w:jc w:val="center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方正仿宋_GBK" w:hAnsi="Arial Unicode MS" w:eastAsia="方正仿宋_GBK" w:cs="Arial Unicode MS"/>
          <w:spacing w:val="-4"/>
          <w:sz w:val="30"/>
          <w:szCs w:val="30"/>
          <w:lang w:eastAsia="zh-CN"/>
        </w:rPr>
        <w:t>绩效评价自评分表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023"/>
        <w:gridCol w:w="1844"/>
        <w:gridCol w:w="1559"/>
        <w:gridCol w:w="1517"/>
        <w:gridCol w:w="1026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9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一级指标</w:t>
            </w:r>
          </w:p>
        </w:tc>
        <w:tc>
          <w:tcPr>
            <w:tcW w:w="56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二级指标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三级指标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年度</w:t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br w:type="textWrapping"/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指标值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实际</w:t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br w:type="textWrapping"/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完成值</w:t>
            </w:r>
          </w:p>
        </w:tc>
        <w:tc>
          <w:tcPr>
            <w:tcW w:w="56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分值</w:t>
            </w:r>
          </w:p>
        </w:tc>
        <w:tc>
          <w:tcPr>
            <w:tcW w:w="56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过程</w:t>
            </w: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资金管理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资金到位率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预算执行率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资金使用合规性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合规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合规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组织实施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管理制度健全性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健全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健全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制度执行有效性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有效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有效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产出</w:t>
            </w: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数量指标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开工里程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11.499km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11.499km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拆迁房屋面积数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民房16.4万平,厂房8.9万平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90%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质量指标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项目验收合格率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项目施工方案审批通过率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时效指标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项目施工进度完成率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项目施工完成率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不低于40%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成本指标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成本控制额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不高于投资概算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小于概算批复金额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单位成本（造价）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低于7.46亿元每公里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小于7.46亿元每公里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效益</w:t>
            </w:r>
          </w:p>
        </w:tc>
        <w:tc>
          <w:tcPr>
            <w:tcW w:w="56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经济效益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促进经济发展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社会效益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对我市社会发展目标造成的影响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极大的缓解现状交通通行压力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缓解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锡澄、澄靖协同一体化发展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有效促进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生态效益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项目施工对环境的影响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影响可控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可控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节能情况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节约燃油11775万升，折合成标准煤约为12.6万吨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节约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可持续发展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对经济社会的后期影响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可以促进区域经济发展，增加当地人民的就业机会，提高人民的生活水平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为沿线提高便捷高速出行条件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对现状资源开发利用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促进资源的开发和利用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促进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满意度</w:t>
            </w: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服务对象</w:t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br w:type="textWrapping"/>
            </w: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满意度</w:t>
            </w: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沿线居民的满意率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不低于95%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99.4%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91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4" w:type="pct"/>
            <w:vMerge w:val="continue"/>
            <w:vAlign w:val="center"/>
          </w:tcPr>
          <w:p>
            <w:pPr>
              <w:widowControl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使用单位满意率</w:t>
            </w:r>
          </w:p>
        </w:tc>
        <w:tc>
          <w:tcPr>
            <w:tcW w:w="8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不低于95%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100%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5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031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总  计</w:t>
            </w:r>
          </w:p>
        </w:tc>
        <w:tc>
          <w:tcPr>
            <w:tcW w:w="83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</w:p>
        </w:tc>
        <w:tc>
          <w:tcPr>
            <w:tcW w:w="56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100</w:t>
            </w:r>
          </w:p>
        </w:tc>
        <w:tc>
          <w:tcPr>
            <w:tcW w:w="56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</w:pPr>
            <w:r>
              <w:rPr>
                <w:rFonts w:ascii="方正仿宋_GBK" w:hAnsi="Arial Unicode MS" w:eastAsia="方正仿宋_GBK" w:cs="Arial Unicode MS"/>
                <w:spacing w:val="-4"/>
                <w:sz w:val="30"/>
                <w:szCs w:val="30"/>
                <w:lang w:eastAsia="zh-CN"/>
              </w:rPr>
              <w:t>99</w:t>
            </w:r>
          </w:p>
        </w:tc>
      </w:tr>
    </w:tbl>
    <w:p>
      <w:pPr>
        <w:spacing w:line="574" w:lineRule="exact"/>
        <w:jc w:val="both"/>
        <w:rPr>
          <w:rFonts w:ascii="方正仿宋_GBK" w:eastAsia="方正仿宋_GBK"/>
          <w:sz w:val="30"/>
          <w:szCs w:val="30"/>
          <w:lang w:eastAsia="zh-CN"/>
        </w:rPr>
      </w:pPr>
    </w:p>
    <w:p>
      <w:pPr>
        <w:spacing w:line="574" w:lineRule="exact"/>
        <w:jc w:val="right"/>
        <w:rPr>
          <w:rFonts w:ascii="方正仿宋_GBK" w:hAnsi="Arial Unicode MS" w:eastAsia="方正仿宋_GBK" w:cs="Arial Unicode MS"/>
          <w:sz w:val="30"/>
          <w:szCs w:val="30"/>
          <w:lang w:eastAsia="zh-CN"/>
        </w:rPr>
      </w:pPr>
      <w:r>
        <w:rPr>
          <w:rFonts w:hint="eastAsia" w:ascii="方正仿宋_GBK" w:hAnsi="Arial Unicode MS" w:eastAsia="方正仿宋_GBK" w:cs="Arial Unicode MS"/>
          <w:sz w:val="30"/>
          <w:szCs w:val="30"/>
          <w:lang w:eastAsia="zh-CN"/>
        </w:rPr>
        <w:t>江阴市交通运输局</w:t>
      </w:r>
    </w:p>
    <w:p>
      <w:pPr>
        <w:spacing w:line="574" w:lineRule="exact"/>
        <w:ind w:firstLine="600" w:firstLineChars="200"/>
        <w:jc w:val="both"/>
        <w:rPr>
          <w:rFonts w:ascii="方正仿宋_GBK" w:eastAsia="方正仿宋_GBK"/>
          <w:sz w:val="30"/>
          <w:szCs w:val="30"/>
          <w:lang w:eastAsia="zh-CN"/>
        </w:rPr>
      </w:pP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hp" w:date="2024-04-03T10:45:26Z" w:initials="h">
    <w:p w14:paraId="101A7A8B">
      <w:pPr>
        <w:pStyle w:val="5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是否应该改为“过江通道项目”有关的表述。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1A7A8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DIzOGEzOGE4Mjk3MzJlMWJkMDExNzY0NTBhODAifQ=="/>
  </w:docVars>
  <w:rsids>
    <w:rsidRoot w:val="006A0286"/>
    <w:rsid w:val="0000186F"/>
    <w:rsid w:val="00027842"/>
    <w:rsid w:val="000342AF"/>
    <w:rsid w:val="000F0010"/>
    <w:rsid w:val="001076FD"/>
    <w:rsid w:val="00112A3C"/>
    <w:rsid w:val="0012335B"/>
    <w:rsid w:val="001D43CE"/>
    <w:rsid w:val="001E1F08"/>
    <w:rsid w:val="001F5652"/>
    <w:rsid w:val="002034C4"/>
    <w:rsid w:val="00223670"/>
    <w:rsid w:val="002D6FC9"/>
    <w:rsid w:val="002E16DC"/>
    <w:rsid w:val="002F39B9"/>
    <w:rsid w:val="00317F35"/>
    <w:rsid w:val="003D4D43"/>
    <w:rsid w:val="00412A90"/>
    <w:rsid w:val="00424C30"/>
    <w:rsid w:val="00427AA3"/>
    <w:rsid w:val="00453872"/>
    <w:rsid w:val="00485FCA"/>
    <w:rsid w:val="00496584"/>
    <w:rsid w:val="004B1555"/>
    <w:rsid w:val="004E3E98"/>
    <w:rsid w:val="004F2889"/>
    <w:rsid w:val="00541FD2"/>
    <w:rsid w:val="0055497B"/>
    <w:rsid w:val="0058181F"/>
    <w:rsid w:val="005C5968"/>
    <w:rsid w:val="005D094F"/>
    <w:rsid w:val="005D61F8"/>
    <w:rsid w:val="006032DC"/>
    <w:rsid w:val="006A0286"/>
    <w:rsid w:val="006F1257"/>
    <w:rsid w:val="006F2AB8"/>
    <w:rsid w:val="00705B52"/>
    <w:rsid w:val="0072674E"/>
    <w:rsid w:val="007416BA"/>
    <w:rsid w:val="0075652D"/>
    <w:rsid w:val="00784065"/>
    <w:rsid w:val="007A754E"/>
    <w:rsid w:val="007D45F3"/>
    <w:rsid w:val="00830C91"/>
    <w:rsid w:val="008C735A"/>
    <w:rsid w:val="008D7527"/>
    <w:rsid w:val="008F6FC9"/>
    <w:rsid w:val="00926E98"/>
    <w:rsid w:val="00927AE9"/>
    <w:rsid w:val="0095504B"/>
    <w:rsid w:val="009B29A4"/>
    <w:rsid w:val="009B2D68"/>
    <w:rsid w:val="00A14DE2"/>
    <w:rsid w:val="00A72387"/>
    <w:rsid w:val="00A76342"/>
    <w:rsid w:val="00A863A2"/>
    <w:rsid w:val="00A92311"/>
    <w:rsid w:val="00AA24DC"/>
    <w:rsid w:val="00AC69E3"/>
    <w:rsid w:val="00B14C89"/>
    <w:rsid w:val="00B33955"/>
    <w:rsid w:val="00BD1F01"/>
    <w:rsid w:val="00CB64D3"/>
    <w:rsid w:val="00D20830"/>
    <w:rsid w:val="00D71C46"/>
    <w:rsid w:val="00D855DD"/>
    <w:rsid w:val="00D85F96"/>
    <w:rsid w:val="00DE067D"/>
    <w:rsid w:val="00DF053C"/>
    <w:rsid w:val="00E1011A"/>
    <w:rsid w:val="00E70A55"/>
    <w:rsid w:val="00EB03FD"/>
    <w:rsid w:val="00ED06B2"/>
    <w:rsid w:val="00EF65E3"/>
    <w:rsid w:val="00F161C4"/>
    <w:rsid w:val="00F35A70"/>
    <w:rsid w:val="00F4202D"/>
    <w:rsid w:val="00FB5E7E"/>
    <w:rsid w:val="00FC405A"/>
    <w:rsid w:val="00FC7877"/>
    <w:rsid w:val="2EC67693"/>
    <w:rsid w:val="331217FF"/>
    <w:rsid w:val="39AE1027"/>
    <w:rsid w:val="4E797E26"/>
    <w:rsid w:val="5C4E1BEB"/>
    <w:rsid w:val="63CC1360"/>
    <w:rsid w:val="6B7C455F"/>
    <w:rsid w:val="6F8C6810"/>
    <w:rsid w:val="796B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100"/>
      <w:outlineLvl w:val="0"/>
    </w:pPr>
    <w:rPr>
      <w:rFonts w:ascii="宋体" w:hAnsi="宋体" w:eastAsia="宋体"/>
      <w:sz w:val="36"/>
      <w:szCs w:val="36"/>
    </w:rPr>
  </w:style>
  <w:style w:type="paragraph" w:styleId="3">
    <w:name w:val="heading 2"/>
    <w:basedOn w:val="1"/>
    <w:next w:val="1"/>
    <w:autoRedefine/>
    <w:qFormat/>
    <w:uiPriority w:val="1"/>
    <w:pPr>
      <w:ind w:left="-21" w:firstLine="2592"/>
      <w:outlineLvl w:val="1"/>
    </w:pPr>
    <w:rPr>
      <w:rFonts w:ascii="宋体" w:hAnsi="宋体" w:eastAsia="宋体"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semiHidden/>
    <w:unhideWhenUsed/>
    <w:uiPriority w:val="99"/>
    <w:pPr>
      <w:jc w:val="left"/>
    </w:pPr>
  </w:style>
  <w:style w:type="paragraph" w:styleId="6">
    <w:name w:val="Body Text"/>
    <w:basedOn w:val="1"/>
    <w:autoRedefine/>
    <w:qFormat/>
    <w:uiPriority w:val="1"/>
    <w:pPr>
      <w:spacing w:before="207"/>
      <w:ind w:left="120"/>
    </w:pPr>
    <w:rPr>
      <w:rFonts w:ascii="宋体" w:hAnsi="宋体" w:eastAsia="宋体"/>
      <w:sz w:val="30"/>
      <w:szCs w:val="30"/>
    </w:rPr>
  </w:style>
  <w:style w:type="paragraph" w:styleId="7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autoRedefine/>
    <w:qFormat/>
    <w:uiPriority w:val="1"/>
  </w:style>
  <w:style w:type="paragraph" w:customStyle="1" w:styleId="15">
    <w:name w:val="Table Paragraph"/>
    <w:basedOn w:val="1"/>
    <w:autoRedefine/>
    <w:qFormat/>
    <w:uiPriority w:val="1"/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cs="方正黑体_GBK" w:eastAsiaTheme="minorEastAsia"/>
      <w:color w:val="000000"/>
      <w:sz w:val="24"/>
      <w:szCs w:val="24"/>
      <w:lang w:val="en-US" w:eastAsia="en-US" w:bidi="ar-SA"/>
    </w:rPr>
  </w:style>
  <w:style w:type="character" w:customStyle="1" w:styleId="17">
    <w:name w:val="页眉 字符"/>
    <w:basedOn w:val="12"/>
    <w:link w:val="9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8"/>
    <w:autoRedefine/>
    <w:qFormat/>
    <w:uiPriority w:val="99"/>
    <w:rPr>
      <w:sz w:val="18"/>
      <w:szCs w:val="18"/>
    </w:rPr>
  </w:style>
  <w:style w:type="paragraph" w:customStyle="1" w:styleId="19">
    <w:name w:val="说明正文"/>
    <w:basedOn w:val="4"/>
    <w:link w:val="20"/>
    <w:autoRedefine/>
    <w:qFormat/>
    <w:uiPriority w:val="0"/>
    <w:pPr>
      <w:adjustRightInd w:val="0"/>
      <w:snapToGrid w:val="0"/>
      <w:spacing w:line="360" w:lineRule="auto"/>
      <w:ind w:firstLine="480"/>
      <w:jc w:val="both"/>
      <w:textAlignment w:val="baseline"/>
    </w:pPr>
    <w:rPr>
      <w:rFonts w:ascii="Times New Roman" w:hAnsi="Times New Roman" w:eastAsia="宋体" w:cs="Times New Roman"/>
      <w:color w:val="000000"/>
      <w:spacing w:val="8"/>
      <w:kern w:val="24"/>
      <w:sz w:val="24"/>
      <w:szCs w:val="24"/>
      <w:lang w:val="zh-CN" w:eastAsia="zh-CN"/>
    </w:rPr>
  </w:style>
  <w:style w:type="character" w:customStyle="1" w:styleId="20">
    <w:name w:val="说明正文 Char"/>
    <w:link w:val="19"/>
    <w:autoRedefine/>
    <w:qFormat/>
    <w:uiPriority w:val="0"/>
    <w:rPr>
      <w:rFonts w:ascii="Times New Roman" w:hAnsi="Times New Roman" w:eastAsia="宋体" w:cs="Times New Roman"/>
      <w:color w:val="000000"/>
      <w:spacing w:val="8"/>
      <w:kern w:val="24"/>
      <w:sz w:val="24"/>
      <w:szCs w:val="24"/>
      <w:lang w:val="zh-CN" w:eastAsia="zh-CN"/>
    </w:rPr>
  </w:style>
  <w:style w:type="character" w:customStyle="1" w:styleId="21">
    <w:name w:val="样式1 Char Char"/>
    <w:link w:val="22"/>
    <w:autoRedefine/>
    <w:qFormat/>
    <w:uiPriority w:val="0"/>
    <w:rPr>
      <w:rFonts w:eastAsia="黑体"/>
      <w:sz w:val="21"/>
    </w:rPr>
  </w:style>
  <w:style w:type="paragraph" w:customStyle="1" w:styleId="22">
    <w:name w:val="样式1"/>
    <w:basedOn w:val="1"/>
    <w:link w:val="21"/>
    <w:autoRedefine/>
    <w:qFormat/>
    <w:uiPriority w:val="0"/>
    <w:pPr>
      <w:adjustRightInd w:val="0"/>
      <w:spacing w:line="288" w:lineRule="auto"/>
      <w:jc w:val="right"/>
      <w:textAlignment w:val="baseline"/>
    </w:pPr>
    <w:rPr>
      <w:rFonts w:eastAsia="黑体"/>
      <w:sz w:val="21"/>
      <w:szCs w:val="20"/>
      <w:lang w:eastAsia="zh-CN"/>
    </w:rPr>
  </w:style>
  <w:style w:type="character" w:customStyle="1" w:styleId="23">
    <w:name w:val="批注框文本 字符"/>
    <w:basedOn w:val="12"/>
    <w:link w:val="7"/>
    <w:autoRedefine/>
    <w:semiHidden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425</Words>
  <Characters>2424</Characters>
  <Lines>20</Lines>
  <Paragraphs>5</Paragraphs>
  <TotalTime>1</TotalTime>
  <ScaleCrop>false</ScaleCrop>
  <LinksUpToDate>false</LinksUpToDate>
  <CharactersWithSpaces>2844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2021-08-19T09:37:00Z</dcterms:created>
  <dc:creator>张肖军(拟稿)</dc:creator>
  <cp:lastModifiedBy>hp</cp:lastModifiedBy>
  <dcterms:modified xsi:type="dcterms:W3CDTF">2024-04-03T02:46:04Z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Adobe Acrobat Pro 11.0.7</vt:lpwstr>
  </property>
  <property fmtid="{D5CDD505-2E9C-101B-9397-08002B2CF9AE}" pid="4" name="LastSaved">
    <vt:filetime>2021-08-19T00:00:00Z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85C5871263FD41E19D19CA897191F789_13</vt:lpwstr>
  </property>
</Properties>
</file>