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0" w:lineRule="atLeast"/>
        <w:jc w:val="center"/>
        <w:rPr>
          <w:rFonts w:ascii="Times New Roman" w:eastAsia="方正小标宋_GBK"/>
          <w:kern w:val="2"/>
          <w:sz w:val="44"/>
          <w:szCs w:val="44"/>
        </w:rPr>
      </w:pPr>
      <w:r>
        <w:rPr>
          <w:rFonts w:hint="eastAsia" w:ascii="Times New Roman" w:eastAsia="方正小标宋_GBK"/>
          <w:kern w:val="2"/>
          <w:sz w:val="44"/>
          <w:szCs w:val="44"/>
        </w:rPr>
        <w:t>关于江阴市</w:t>
      </w:r>
      <w:r>
        <w:rPr>
          <w:rFonts w:ascii="Times New Roman" w:eastAsia="方正小标宋_GBK"/>
          <w:kern w:val="2"/>
          <w:sz w:val="44"/>
          <w:szCs w:val="44"/>
        </w:rPr>
        <w:t>20</w:t>
      </w:r>
      <w:r>
        <w:rPr>
          <w:rFonts w:hint="eastAsia" w:ascii="Times New Roman" w:eastAsia="方正小标宋_GBK"/>
          <w:kern w:val="2"/>
          <w:sz w:val="44"/>
          <w:szCs w:val="44"/>
        </w:rPr>
        <w:t>23年国民经济和</w:t>
      </w:r>
    </w:p>
    <w:p>
      <w:pPr>
        <w:overflowPunct w:val="0"/>
        <w:spacing w:line="0" w:lineRule="atLeast"/>
        <w:jc w:val="center"/>
        <w:rPr>
          <w:rFonts w:ascii="Times New Roman" w:eastAsia="方正小标宋_GBK"/>
          <w:kern w:val="2"/>
          <w:sz w:val="44"/>
          <w:szCs w:val="44"/>
        </w:rPr>
      </w:pPr>
      <w:r>
        <w:rPr>
          <w:rFonts w:hint="eastAsia" w:ascii="Times New Roman" w:eastAsia="方正小标宋_GBK"/>
          <w:kern w:val="2"/>
          <w:sz w:val="44"/>
          <w:szCs w:val="44"/>
        </w:rPr>
        <w:t>社会发展计划执行情况与</w:t>
      </w:r>
      <w:r>
        <w:rPr>
          <w:rFonts w:ascii="Times New Roman" w:eastAsia="方正小标宋_GBK"/>
          <w:kern w:val="2"/>
          <w:sz w:val="44"/>
          <w:szCs w:val="44"/>
        </w:rPr>
        <w:t>202</w:t>
      </w:r>
      <w:r>
        <w:rPr>
          <w:rFonts w:hint="eastAsia" w:ascii="Times New Roman" w:eastAsia="方正小标宋_GBK"/>
          <w:kern w:val="2"/>
          <w:sz w:val="44"/>
          <w:szCs w:val="44"/>
        </w:rPr>
        <w:t>4年国民经济</w:t>
      </w:r>
    </w:p>
    <w:p>
      <w:pPr>
        <w:overflowPunct w:val="0"/>
        <w:spacing w:line="0" w:lineRule="atLeast"/>
        <w:jc w:val="center"/>
        <w:rPr>
          <w:rFonts w:ascii="Times New Roman" w:eastAsia="方正小标宋_GBK"/>
          <w:kern w:val="2"/>
          <w:sz w:val="44"/>
          <w:szCs w:val="44"/>
        </w:rPr>
      </w:pPr>
      <w:r>
        <w:rPr>
          <w:rFonts w:hint="eastAsia" w:ascii="Times New Roman" w:eastAsia="方正小标宋_GBK"/>
          <w:kern w:val="2"/>
          <w:sz w:val="44"/>
          <w:szCs w:val="44"/>
        </w:rPr>
        <w:t>和社会发展计划草案的报告</w:t>
      </w:r>
    </w:p>
    <w:p>
      <w:pPr>
        <w:jc w:val="center"/>
        <w:rPr>
          <w:rFonts w:ascii="Times New Roman" w:eastAsia="方正楷体_GBK"/>
          <w:kern w:val="2"/>
        </w:rPr>
      </w:pPr>
    </w:p>
    <w:p>
      <w:pPr>
        <w:ind w:firstLine="604" w:firstLineChars="200"/>
        <w:rPr>
          <w:rFonts w:ascii="Times New Roman"/>
          <w:kern w:val="2"/>
        </w:rPr>
      </w:pPr>
      <w:bookmarkStart w:id="0" w:name="_GoBack"/>
      <w:bookmarkEnd w:id="0"/>
      <w:r>
        <w:rPr>
          <w:rFonts w:hint="eastAsia" w:ascii="Times New Roman"/>
          <w:kern w:val="2"/>
        </w:rPr>
        <w:t>2023年，在市委的坚强领导下，在市人大、市政协的监督和支持下，全市上下坚持以习近平新时代中国特色社会主义思想为指导，深入学习贯彻</w:t>
      </w:r>
      <w:r>
        <w:rPr>
          <w:rFonts w:ascii="Times New Roman"/>
          <w:kern w:val="2"/>
        </w:rPr>
        <w:t>习近平总书记</w:t>
      </w:r>
      <w:r>
        <w:rPr>
          <w:rFonts w:hint="eastAsia" w:ascii="Times New Roman"/>
          <w:kern w:val="2"/>
        </w:rPr>
        <w:t>对</w:t>
      </w:r>
      <w:r>
        <w:rPr>
          <w:rFonts w:ascii="Times New Roman"/>
          <w:kern w:val="2"/>
        </w:rPr>
        <w:t>江苏</w:t>
      </w:r>
      <w:r>
        <w:rPr>
          <w:rFonts w:hint="eastAsia" w:ascii="Times New Roman"/>
          <w:kern w:val="2"/>
        </w:rPr>
        <w:t>工作</w:t>
      </w:r>
      <w:r>
        <w:rPr>
          <w:rFonts w:ascii="Times New Roman"/>
          <w:kern w:val="2"/>
        </w:rPr>
        <w:t>重要讲话重要指示精神</w:t>
      </w:r>
      <w:r>
        <w:rPr>
          <w:rFonts w:hint="eastAsia" w:ascii="Times New Roman"/>
          <w:kern w:val="2"/>
        </w:rPr>
        <w:t>，全面贯彻落实国家、省市相关部署，坚持稳中求进总基调，着力扩内需、提信心、防风险，主要指标预计完成情况如下：</w:t>
      </w:r>
    </w:p>
    <w:p>
      <w:pPr>
        <w:ind w:firstLine="604" w:firstLineChars="200"/>
        <w:rPr>
          <w:rFonts w:ascii="Times New Roman"/>
          <w:kern w:val="2"/>
        </w:rPr>
      </w:pPr>
      <w:r>
        <w:rPr>
          <w:rFonts w:hint="eastAsia" w:ascii="Times New Roman"/>
          <w:kern w:val="2"/>
        </w:rPr>
        <w:t>（一）地区生产总值增长5.8%左右；</w:t>
      </w:r>
    </w:p>
    <w:p>
      <w:pPr>
        <w:ind w:firstLine="604" w:firstLineChars="200"/>
        <w:rPr>
          <w:rFonts w:ascii="Times New Roman"/>
          <w:kern w:val="2"/>
        </w:rPr>
      </w:pPr>
      <w:r>
        <w:rPr>
          <w:rFonts w:hint="eastAsia" w:ascii="Times New Roman"/>
          <w:kern w:val="2"/>
        </w:rPr>
        <w:t>（二）一般公共预算收入增长9.5%；</w:t>
      </w:r>
    </w:p>
    <w:p>
      <w:pPr>
        <w:ind w:firstLine="604" w:firstLineChars="200"/>
        <w:rPr>
          <w:rFonts w:ascii="Times New Roman"/>
          <w:kern w:val="2"/>
        </w:rPr>
      </w:pPr>
      <w:r>
        <w:rPr>
          <w:rFonts w:hint="eastAsia" w:ascii="Times New Roman"/>
          <w:kern w:val="2"/>
        </w:rPr>
        <w:t>（三）规模以上工业增加值增长7.5%以上；</w:t>
      </w:r>
    </w:p>
    <w:p>
      <w:pPr>
        <w:ind w:firstLine="604" w:firstLineChars="200"/>
        <w:rPr>
          <w:rFonts w:ascii="Times New Roman"/>
          <w:kern w:val="2"/>
        </w:rPr>
      </w:pPr>
      <w:r>
        <w:rPr>
          <w:rFonts w:hint="eastAsia" w:ascii="Times New Roman"/>
          <w:kern w:val="2"/>
        </w:rPr>
        <w:t>（四）规模以上服务业营业收入实现正增长；</w:t>
      </w:r>
    </w:p>
    <w:p>
      <w:pPr>
        <w:ind w:firstLine="604" w:firstLineChars="200"/>
        <w:rPr>
          <w:rFonts w:ascii="Times New Roman"/>
          <w:kern w:val="2"/>
        </w:rPr>
      </w:pPr>
      <w:r>
        <w:rPr>
          <w:rFonts w:hint="eastAsia" w:ascii="Times New Roman"/>
          <w:kern w:val="2"/>
        </w:rPr>
        <w:t>（五）固定资产投资完成880亿元；</w:t>
      </w:r>
    </w:p>
    <w:p>
      <w:pPr>
        <w:ind w:firstLine="604" w:firstLineChars="200"/>
        <w:rPr>
          <w:rFonts w:ascii="Times New Roman"/>
          <w:kern w:val="2"/>
        </w:rPr>
      </w:pPr>
      <w:r>
        <w:rPr>
          <w:rFonts w:hint="eastAsia" w:ascii="Times New Roman"/>
          <w:kern w:val="2"/>
        </w:rPr>
        <w:t>（六）社会消费品零售总额增长3.8%；</w:t>
      </w:r>
    </w:p>
    <w:p>
      <w:pPr>
        <w:ind w:firstLine="604" w:firstLineChars="200"/>
        <w:rPr>
          <w:rFonts w:ascii="Times New Roman"/>
          <w:kern w:val="2"/>
        </w:rPr>
      </w:pPr>
      <w:r>
        <w:rPr>
          <w:rFonts w:hint="eastAsia" w:ascii="Times New Roman"/>
          <w:kern w:val="2"/>
        </w:rPr>
        <w:t>（七）进出口总额较去年持平；</w:t>
      </w:r>
    </w:p>
    <w:p>
      <w:pPr>
        <w:ind w:firstLine="604" w:firstLineChars="200"/>
        <w:rPr>
          <w:rFonts w:ascii="Times New Roman"/>
          <w:kern w:val="2"/>
        </w:rPr>
      </w:pPr>
      <w:r>
        <w:rPr>
          <w:rFonts w:hint="eastAsia" w:ascii="Times New Roman"/>
          <w:kern w:val="2"/>
        </w:rPr>
        <w:t>（八）实际使用外资11亿美元；</w:t>
      </w:r>
    </w:p>
    <w:p>
      <w:pPr>
        <w:ind w:firstLine="604" w:firstLineChars="200"/>
        <w:rPr>
          <w:rFonts w:ascii="Times New Roman"/>
          <w:kern w:val="2"/>
        </w:rPr>
      </w:pPr>
      <w:r>
        <w:rPr>
          <w:rFonts w:hint="eastAsia" w:ascii="Times New Roman"/>
          <w:kern w:val="2"/>
        </w:rPr>
        <w:t>（九）居民人均可支配收入增长5%以上；</w:t>
      </w:r>
    </w:p>
    <w:p>
      <w:pPr>
        <w:ind w:firstLine="604" w:firstLineChars="200"/>
        <w:rPr>
          <w:rFonts w:ascii="Times New Roman"/>
          <w:kern w:val="2"/>
        </w:rPr>
      </w:pPr>
      <w:r>
        <w:rPr>
          <w:rFonts w:hint="eastAsia" w:ascii="Times New Roman"/>
          <w:kern w:val="2"/>
        </w:rPr>
        <w:t>（十）城镇新增就业人数2.75万人，城镇调查失业率控制在5%左右；</w:t>
      </w:r>
    </w:p>
    <w:p>
      <w:pPr>
        <w:ind w:firstLine="604" w:firstLineChars="200"/>
        <w:rPr>
          <w:rFonts w:ascii="Times New Roman"/>
          <w:kern w:val="2"/>
        </w:rPr>
      </w:pPr>
      <w:r>
        <w:rPr>
          <w:rFonts w:hint="eastAsia" w:ascii="Times New Roman"/>
          <w:kern w:val="2"/>
        </w:rPr>
        <w:t>（十一）</w:t>
      </w:r>
      <w:r>
        <w:rPr>
          <w:rFonts w:hint="eastAsia" w:ascii="Times New Roman" w:cs="方正仿宋_GBK"/>
          <w:kern w:val="2"/>
        </w:rPr>
        <w:t>单位GDP能耗完成上级下达的目标任务</w:t>
      </w:r>
      <w:r>
        <w:rPr>
          <w:rFonts w:hint="eastAsia" w:ascii="Times New Roman"/>
          <w:kern w:val="2"/>
        </w:rPr>
        <w:t>；</w:t>
      </w:r>
    </w:p>
    <w:p>
      <w:pPr>
        <w:ind w:firstLine="604" w:firstLineChars="200"/>
        <w:rPr>
          <w:rFonts w:ascii="Times New Roman"/>
          <w:kern w:val="2"/>
        </w:rPr>
      </w:pPr>
      <w:r>
        <w:rPr>
          <w:rFonts w:hint="eastAsia" w:ascii="Times New Roman"/>
          <w:kern w:val="2"/>
        </w:rPr>
        <w:t>（十二）化学需氧量、氨氮、挥发性有机物和氮氧化物等主要污染物减排量完成上级下达目标任务；</w:t>
      </w:r>
    </w:p>
    <w:p>
      <w:pPr>
        <w:ind w:firstLine="604" w:firstLineChars="200"/>
        <w:rPr>
          <w:rFonts w:ascii="Times New Roman"/>
          <w:kern w:val="2"/>
        </w:rPr>
      </w:pPr>
      <w:r>
        <w:rPr>
          <w:rFonts w:hint="eastAsia" w:ascii="Times New Roman"/>
          <w:kern w:val="2"/>
        </w:rPr>
        <w:t>（十三）PM</w:t>
      </w:r>
      <w:r>
        <w:rPr>
          <w:rFonts w:hint="eastAsia" w:ascii="Times New Roman"/>
          <w:kern w:val="2"/>
          <w:vertAlign w:val="subscript"/>
        </w:rPr>
        <w:t>2.5</w:t>
      </w:r>
      <w:r>
        <w:rPr>
          <w:rFonts w:hint="eastAsia" w:ascii="Times New Roman"/>
          <w:kern w:val="2"/>
        </w:rPr>
        <w:t>年均浓度、空气质量优良天数比率、地表水达到或好于Ⅲ类水体比例分别为31.9微克/立方米、80.3%、100%。</w:t>
      </w:r>
    </w:p>
    <w:p>
      <w:pPr>
        <w:ind w:firstLine="604" w:firstLineChars="200"/>
        <w:rPr>
          <w:rFonts w:ascii="Times New Roman" w:eastAsia="方正黑体_GBK"/>
          <w:kern w:val="2"/>
        </w:rPr>
      </w:pPr>
      <w:r>
        <w:rPr>
          <w:rFonts w:hint="eastAsia" w:ascii="Times New Roman" w:eastAsia="方正黑体_GBK"/>
          <w:kern w:val="2"/>
        </w:rPr>
        <w:t>一、2023年国民经济和社会发展主要情况</w:t>
      </w:r>
    </w:p>
    <w:p>
      <w:pPr>
        <w:tabs>
          <w:tab w:val="left" w:pos="1508"/>
        </w:tabs>
        <w:ind w:firstLine="604" w:firstLineChars="200"/>
        <w:rPr>
          <w:rFonts w:ascii="Times New Roman"/>
          <w:kern w:val="2"/>
        </w:rPr>
      </w:pPr>
      <w:r>
        <w:rPr>
          <w:rFonts w:hint="eastAsia" w:ascii="Times New Roman" w:eastAsia="方正楷体_GBK"/>
          <w:b/>
          <w:kern w:val="2"/>
        </w:rPr>
        <w:t>（一）经济运行企稳回升。</w:t>
      </w:r>
      <w:r>
        <w:rPr>
          <w:rFonts w:hint="eastAsia" w:ascii="Times New Roman" w:eastAsia="方正楷体_GBK"/>
          <w:kern w:val="2"/>
        </w:rPr>
        <w:t>惠企政策加快兑现。</w:t>
      </w:r>
      <w:r>
        <w:rPr>
          <w:rFonts w:hint="eastAsia" w:ascii="Times New Roman"/>
          <w:kern w:val="2"/>
        </w:rPr>
        <w:t>加快落实</w:t>
      </w:r>
      <w:r>
        <w:rPr>
          <w:rFonts w:hint="eastAsia" w:ascii="Times New Roman" w:cs="方正仿宋_GBK"/>
          <w:kern w:val="2"/>
        </w:rPr>
        <w:t>省“四十二条”“二十八条”、无锡“二十二条”等</w:t>
      </w:r>
      <w:r>
        <w:rPr>
          <w:rFonts w:hint="eastAsia" w:ascii="Times New Roman"/>
          <w:kern w:val="2"/>
        </w:rPr>
        <w:t>政策举措，出台实施我市促进经济持续回升向好“二十三条”，兑付产业强市资金9.23亿元。</w:t>
      </w:r>
      <w:r>
        <w:rPr>
          <w:rFonts w:hint="eastAsia" w:ascii="Times New Roman" w:eastAsia="方正楷体_GBK"/>
          <w:kern w:val="2"/>
        </w:rPr>
        <w:t>工业保持稳步增长。</w:t>
      </w:r>
      <w:r>
        <w:rPr>
          <w:rFonts w:hint="eastAsia" w:ascii="Times New Roman"/>
          <w:kern w:val="2"/>
        </w:rPr>
        <w:t>预计完成规上工业产值超7000亿元、增长4.5%以上。入围中国企业500强9家、中国制造业企业500强12家。</w:t>
      </w:r>
      <w:r>
        <w:rPr>
          <w:rFonts w:hint="eastAsia" w:ascii="Times New Roman" w:eastAsia="方正楷体_GBK"/>
          <w:kern w:val="2"/>
        </w:rPr>
        <w:t>现代服务业融合发展。</w:t>
      </w:r>
      <w:r>
        <w:rPr>
          <w:rFonts w:hint="eastAsia" w:ascii="Times New Roman"/>
          <w:kern w:val="2"/>
        </w:rPr>
        <w:t>预计完成规上服务业营业收入290亿元，入围中国服务业企业500强6家，高新区、双良节能入选省两业融合标杆引领典型试点。</w:t>
      </w:r>
      <w:r>
        <w:rPr>
          <w:rFonts w:hint="eastAsia" w:ascii="Times New Roman" w:eastAsia="方正楷体_GBK"/>
          <w:kern w:val="2"/>
        </w:rPr>
        <w:t>农业生产稳定向好。</w:t>
      </w:r>
      <w:r>
        <w:rPr>
          <w:rFonts w:hint="eastAsia" w:ascii="Times New Roman"/>
          <w:kern w:val="2"/>
        </w:rPr>
        <w:t>建成</w:t>
      </w:r>
      <w:r>
        <w:rPr>
          <w:rFonts w:ascii="Times New Roman"/>
          <w:kern w:val="2"/>
        </w:rPr>
        <w:t>高标准农田2.36万亩。</w:t>
      </w:r>
      <w:r>
        <w:rPr>
          <w:rFonts w:hint="eastAsia" w:ascii="Times New Roman"/>
          <w:kern w:val="2"/>
        </w:rPr>
        <w:t>全年粮食播种面积28.8万亩、总产量2.6亿斤</w:t>
      </w:r>
      <w:r>
        <w:rPr>
          <w:rFonts w:ascii="Times New Roman"/>
          <w:kern w:val="2"/>
        </w:rPr>
        <w:t>，蔬菜18.5万亩、总产量40万吨。</w:t>
      </w:r>
      <w:r>
        <w:rPr>
          <w:rFonts w:hint="eastAsia" w:ascii="Times New Roman"/>
          <w:kern w:val="2"/>
        </w:rPr>
        <w:t>完成农业农村重大项目投资27.39亿元。</w:t>
      </w:r>
      <w:r>
        <w:rPr>
          <w:rFonts w:hint="eastAsia" w:ascii="Times New Roman" w:cs="仿宋"/>
          <w:kern w:val="2"/>
        </w:rPr>
        <w:t>新增无锡市级以上龙头企业4家</w:t>
      </w:r>
      <w:r>
        <w:rPr>
          <w:rFonts w:hint="eastAsia" w:ascii="Times New Roman"/>
          <w:kern w:val="2"/>
        </w:rPr>
        <w:t>。璜土镇被认定为首批国家农业产业强镇。</w:t>
      </w:r>
    </w:p>
    <w:p>
      <w:pPr>
        <w:ind w:firstLine="604" w:firstLineChars="200"/>
        <w:textAlignment w:val="baseline"/>
        <w:rPr>
          <w:rFonts w:ascii="Times New Roman"/>
          <w:kern w:val="2"/>
        </w:rPr>
      </w:pPr>
      <w:r>
        <w:rPr>
          <w:rFonts w:hint="eastAsia" w:ascii="Times New Roman" w:eastAsia="方正楷体_GBK"/>
          <w:b/>
          <w:kern w:val="2"/>
        </w:rPr>
        <w:t>（二）发展动能持续增强。</w:t>
      </w:r>
      <w:r>
        <w:rPr>
          <w:rFonts w:hint="eastAsia" w:ascii="Times New Roman" w:eastAsia="方正楷体_GBK"/>
          <w:kern w:val="2"/>
        </w:rPr>
        <w:t>创新引擎更加强劲。</w:t>
      </w:r>
      <w:r>
        <w:rPr>
          <w:rFonts w:hint="eastAsia" w:ascii="Times New Roman"/>
          <w:kern w:val="2"/>
        </w:rPr>
        <w:t>新增高新技术企业172家，入库科技型中小企业2365家，新增无锡市雏鹰、瞪羚、准独角兽入库企业367家。建成投用科创载体超80万平方米，新增省级以上科创平台25个。</w:t>
      </w:r>
      <w:r>
        <w:rPr>
          <w:rFonts w:ascii="Times New Roman" w:cs="方正仿宋_GBK"/>
          <w:kern w:val="2"/>
        </w:rPr>
        <w:t>新增</w:t>
      </w:r>
      <w:r>
        <w:rPr>
          <w:rFonts w:hint="eastAsia" w:ascii="Times New Roman" w:cs="方正仿宋_GBK"/>
          <w:kern w:val="2"/>
        </w:rPr>
        <w:t>省级企业技术中心22家、省级工程研究中心1家、</w:t>
      </w:r>
      <w:r>
        <w:rPr>
          <w:rFonts w:ascii="Times New Roman" w:cs="方正仿宋_GBK"/>
          <w:kern w:val="2"/>
        </w:rPr>
        <w:t>省级技术标准创新基地1个。</w:t>
      </w:r>
      <w:r>
        <w:rPr>
          <w:rFonts w:hint="eastAsia" w:ascii="Times New Roman"/>
          <w:kern w:val="2"/>
        </w:rPr>
        <w:t>制（修）订国际、国家、行业标准</w:t>
      </w:r>
      <w:r>
        <w:rPr>
          <w:rFonts w:ascii="Times New Roman"/>
          <w:kern w:val="2"/>
        </w:rPr>
        <w:t>124</w:t>
      </w:r>
      <w:r>
        <w:rPr>
          <w:rFonts w:hint="eastAsia" w:ascii="Times New Roman"/>
          <w:kern w:val="2"/>
        </w:rPr>
        <w:t>项</w:t>
      </w:r>
      <w:r>
        <w:rPr>
          <w:rFonts w:ascii="Times New Roman" w:cs="宋体"/>
          <w:kern w:val="2"/>
        </w:rPr>
        <w:t>。</w:t>
      </w:r>
      <w:r>
        <w:rPr>
          <w:rFonts w:ascii="Times New Roman" w:cs="方正仿宋_GBK"/>
          <w:kern w:val="2"/>
        </w:rPr>
        <w:t>新增省长质量奖</w:t>
      </w:r>
      <w:r>
        <w:rPr>
          <w:rFonts w:hint="eastAsia" w:ascii="Times New Roman" w:cs="方正仿宋_GBK"/>
          <w:kern w:val="2"/>
        </w:rPr>
        <w:t>企业</w:t>
      </w:r>
      <w:r>
        <w:rPr>
          <w:rFonts w:ascii="Times New Roman" w:cs="方正仿宋_GBK"/>
          <w:kern w:val="2"/>
        </w:rPr>
        <w:t>1家。</w:t>
      </w:r>
      <w:r>
        <w:rPr>
          <w:rFonts w:hint="eastAsia" w:ascii="Times New Roman" w:eastAsia="方正楷体_GBK"/>
          <w:kern w:val="2"/>
        </w:rPr>
        <w:t>数字经济提速发展。</w:t>
      </w:r>
      <w:r>
        <w:rPr>
          <w:rFonts w:hint="eastAsia" w:ascii="Times New Roman" w:cs="方正仿宋_GBK"/>
          <w:kern w:val="2"/>
        </w:rPr>
        <w:t>预计完成数字经济核心产业规上企业营收580亿元。兴澄特钢成为全球特钢行业首座“灯塔工厂”，</w:t>
      </w:r>
      <w:r>
        <w:rPr>
          <w:rFonts w:hint="eastAsia" w:ascii="Times New Roman"/>
          <w:kern w:val="2"/>
        </w:rPr>
        <w:t>入选“中国工业互联网500强”企业2家，入围国家智能制造优秀场景企业3家，</w:t>
      </w:r>
      <w:r>
        <w:rPr>
          <w:rFonts w:hint="eastAsia" w:ascii="Times New Roman" w:cs="方正仿宋_GBK"/>
          <w:kern w:val="2"/>
        </w:rPr>
        <w:t>入选工信部5G工厂名录项目6个、</w:t>
      </w:r>
      <w:r>
        <w:rPr>
          <w:rFonts w:ascii="Times New Roman"/>
          <w:kern w:val="2"/>
        </w:rPr>
        <w:t>新增省5G工厂2家，</w:t>
      </w:r>
      <w:r>
        <w:rPr>
          <w:rFonts w:hint="eastAsia" w:ascii="Times New Roman" w:cs="方正仿宋_GBK"/>
          <w:kern w:val="2"/>
        </w:rPr>
        <w:t>获评省制造业智改数转成效明显地区。</w:t>
      </w:r>
      <w:r>
        <w:rPr>
          <w:rFonts w:hint="eastAsia" w:ascii="Times New Roman" w:eastAsia="方正楷体_GBK"/>
          <w:kern w:val="2"/>
        </w:rPr>
        <w:t>产业集群加快壮大。</w:t>
      </w:r>
      <w:r>
        <w:rPr>
          <w:rFonts w:hint="eastAsia" w:ascii="Times New Roman"/>
          <w:kern w:val="2"/>
        </w:rPr>
        <w:t>加快构建“345”现代产业集群，高端装备产业成为全市第4个千亿级产业集群</w:t>
      </w:r>
      <w:r>
        <w:rPr>
          <w:rFonts w:ascii="Times New Roman"/>
          <w:kern w:val="2"/>
        </w:rPr>
        <w:t>。</w:t>
      </w:r>
      <w:r>
        <w:rPr>
          <w:rFonts w:hint="eastAsia" w:ascii="Times New Roman"/>
          <w:kern w:val="2"/>
        </w:rPr>
        <w:t>新增国家级专精特新“小巨人”企业27家、</w:t>
      </w:r>
      <w:r>
        <w:rPr>
          <w:rFonts w:hint="eastAsia" w:ascii="Times New Roman" w:cs="方正仿宋_GBK"/>
          <w:kern w:val="2"/>
        </w:rPr>
        <w:t>省级以上专精特新中小企业达到240家</w:t>
      </w:r>
      <w:r>
        <w:rPr>
          <w:rFonts w:hint="eastAsia" w:ascii="Times New Roman"/>
          <w:kern w:val="2"/>
        </w:rPr>
        <w:t>。</w:t>
      </w:r>
      <w:r>
        <w:rPr>
          <w:rFonts w:ascii="Times New Roman"/>
          <w:kern w:val="2"/>
        </w:rPr>
        <w:t>新增上市</w:t>
      </w:r>
      <w:r>
        <w:rPr>
          <w:rFonts w:hint="eastAsia" w:ascii="Times New Roman"/>
          <w:kern w:val="2"/>
        </w:rPr>
        <w:t>企业</w:t>
      </w:r>
      <w:r>
        <w:rPr>
          <w:rFonts w:ascii="Times New Roman"/>
          <w:kern w:val="2"/>
        </w:rPr>
        <w:t>2家</w:t>
      </w:r>
      <w:r>
        <w:rPr>
          <w:rFonts w:hint="eastAsia" w:ascii="Times New Roman"/>
          <w:kern w:val="2"/>
        </w:rPr>
        <w:t>。创成无锡市级特色产业园区2个</w:t>
      </w:r>
      <w:r>
        <w:rPr>
          <w:rFonts w:hint="eastAsia" w:ascii="Times New Roman" w:cs="方正仿宋_GBK"/>
          <w:kern w:val="2"/>
        </w:rPr>
        <w:t>。</w:t>
      </w:r>
      <w:r>
        <w:rPr>
          <w:rFonts w:hint="eastAsia" w:ascii="Times New Roman" w:eastAsia="方正楷体_GBK"/>
          <w:kern w:val="2"/>
        </w:rPr>
        <w:t>有效投入持续扩大。</w:t>
      </w:r>
      <w:r>
        <w:rPr>
          <w:rFonts w:hint="eastAsia" w:ascii="Times New Roman"/>
          <w:kern w:val="2"/>
        </w:rPr>
        <w:t>省、无锡市、江阴市重大产业项目投资目标完成率均超100%，其中无锡市重大产业项目完成投资金额创历史新高。获批地方政府专项债券项目51个、中长期贷款重点支持领域备选项目13个，居无锡前列。</w:t>
      </w:r>
    </w:p>
    <w:p>
      <w:pPr>
        <w:ind w:firstLine="604" w:firstLineChars="200"/>
        <w:textAlignment w:val="baseline"/>
        <w:rPr>
          <w:rFonts w:ascii="Times New Roman" w:eastAsia="方正楷体_GBK"/>
          <w:spacing w:val="2"/>
          <w:kern w:val="2"/>
        </w:rPr>
      </w:pPr>
      <w:r>
        <w:rPr>
          <w:rFonts w:hint="eastAsia" w:ascii="Times New Roman" w:eastAsia="方正楷体_GBK"/>
          <w:b/>
          <w:kern w:val="2"/>
        </w:rPr>
        <w:t>（</w:t>
      </w:r>
      <w:r>
        <w:rPr>
          <w:rFonts w:hint="eastAsia" w:ascii="Times New Roman" w:eastAsia="方正楷体_GBK"/>
          <w:b/>
          <w:spacing w:val="2"/>
          <w:kern w:val="2"/>
        </w:rPr>
        <w:t>三）</w:t>
      </w:r>
      <w:r>
        <w:rPr>
          <w:rFonts w:hint="eastAsia" w:ascii="Times New Roman" w:eastAsia="方正楷体_GBK"/>
          <w:b/>
          <w:spacing w:val="-4"/>
          <w:kern w:val="2"/>
        </w:rPr>
        <w:t>改革开放纵深推进。</w:t>
      </w:r>
      <w:r>
        <w:rPr>
          <w:rFonts w:hint="eastAsia" w:ascii="Times New Roman" w:eastAsia="方正楷体_GBK"/>
          <w:spacing w:val="-4"/>
          <w:kern w:val="2"/>
        </w:rPr>
        <w:t>功能区建设加快推进。</w:t>
      </w:r>
      <w:r>
        <w:rPr>
          <w:rFonts w:hint="eastAsia" w:ascii="Times New Roman"/>
          <w:spacing w:val="-4"/>
          <w:kern w:val="2"/>
        </w:rPr>
        <w:t>围绕“4+1”</w:t>
      </w:r>
      <w:r>
        <w:rPr>
          <w:rFonts w:hint="eastAsia" w:ascii="Times New Roman"/>
          <w:spacing w:val="2"/>
          <w:kern w:val="2"/>
        </w:rPr>
        <w:t>功能区布局，形成“1+4+N”方案体系</w:t>
      </w:r>
      <w:r>
        <w:rPr>
          <w:rFonts w:hint="eastAsia" w:ascii="Times New Roman" w:cs="方正仿宋_GBK"/>
          <w:spacing w:val="2"/>
          <w:kern w:val="2"/>
        </w:rPr>
        <w:t>，建立健全“功能区+镇街”服务架构、“功能区+国资公司”运营架构，</w:t>
      </w:r>
      <w:r>
        <w:rPr>
          <w:rFonts w:hint="eastAsia" w:ascii="Times New Roman"/>
          <w:spacing w:val="2"/>
          <w:kern w:val="2"/>
        </w:rPr>
        <w:t>加快推进国资平台整合和市场化转型。</w:t>
      </w:r>
      <w:r>
        <w:rPr>
          <w:rFonts w:hint="eastAsia" w:ascii="Times New Roman" w:eastAsia="方正楷体_GBK"/>
          <w:spacing w:val="2"/>
          <w:kern w:val="2"/>
        </w:rPr>
        <w:t>“南征北战、东西互搏”战略稳步实施。“</w:t>
      </w:r>
      <w:r>
        <w:rPr>
          <w:rFonts w:hint="eastAsia" w:ascii="Times New Roman" w:cs="Arial"/>
          <w:spacing w:val="2"/>
          <w:kern w:val="2"/>
        </w:rPr>
        <w:t>南征</w:t>
      </w:r>
      <w:r>
        <w:rPr>
          <w:rFonts w:hint="eastAsia" w:ascii="Times New Roman" w:eastAsia="方正楷体_GBK"/>
          <w:spacing w:val="2"/>
          <w:kern w:val="2"/>
        </w:rPr>
        <w:t>”</w:t>
      </w:r>
      <w:r>
        <w:rPr>
          <w:rFonts w:hint="eastAsia" w:ascii="Times New Roman" w:cs="Arial"/>
          <w:spacing w:val="2"/>
          <w:kern w:val="2"/>
        </w:rPr>
        <w:t>上</w:t>
      </w:r>
      <w:r>
        <w:rPr>
          <w:rFonts w:hint="eastAsia" w:ascii="Times New Roman" w:eastAsia="方正楷体_GBK"/>
          <w:spacing w:val="2"/>
          <w:kern w:val="2"/>
        </w:rPr>
        <w:t>，</w:t>
      </w:r>
      <w:r>
        <w:rPr>
          <w:rFonts w:hint="eastAsia" w:ascii="Times New Roman" w:cs="方正仿宋_GBK"/>
          <w:spacing w:val="2"/>
          <w:kern w:val="2"/>
        </w:rPr>
        <w:t>江南大学（江阴校区）主体结构全部封顶；水系连通及水美乡村试点工程全面完工；</w:t>
      </w:r>
      <w:r>
        <w:rPr>
          <w:rFonts w:hint="eastAsia" w:ascii="Times New Roman"/>
          <w:spacing w:val="2"/>
          <w:kern w:val="2"/>
        </w:rPr>
        <w:t>旌阳湖科创园、园博会等项目有序推进；宽视场巡天望远镜（MUST）</w:t>
      </w:r>
      <w:r>
        <w:rPr>
          <w:rFonts w:hint="eastAsia" w:ascii="Times New Roman" w:cs="方正仿宋_GBK"/>
          <w:spacing w:val="2"/>
          <w:kern w:val="2"/>
        </w:rPr>
        <w:t>、后政品欣咖啡园等项目顺利落地。“北战”上，</w:t>
      </w:r>
      <w:r>
        <w:rPr>
          <w:rFonts w:hint="eastAsia" w:ascii="Times New Roman"/>
          <w:spacing w:val="2"/>
          <w:kern w:val="2"/>
        </w:rPr>
        <w:t>加速整合优化港口岸线资源，新开通远洋、近洋航线各1条，新启用对外开放码头1个，无锡（江阴）港完成货物吞吐量3.7</w:t>
      </w:r>
      <w:r>
        <w:rPr>
          <w:rFonts w:ascii="Times New Roman"/>
          <w:spacing w:val="2"/>
          <w:kern w:val="2"/>
        </w:rPr>
        <w:t>8</w:t>
      </w:r>
      <w:r>
        <w:rPr>
          <w:rFonts w:hint="eastAsia" w:ascii="Times New Roman"/>
          <w:spacing w:val="2"/>
          <w:kern w:val="2"/>
        </w:rPr>
        <w:t>亿吨、增长</w:t>
      </w:r>
      <w:r>
        <w:rPr>
          <w:rFonts w:ascii="Times New Roman"/>
          <w:spacing w:val="2"/>
          <w:kern w:val="2"/>
        </w:rPr>
        <w:t>7.8</w:t>
      </w:r>
      <w:r>
        <w:rPr>
          <w:rFonts w:hint="eastAsia" w:ascii="Times New Roman"/>
          <w:spacing w:val="2"/>
          <w:kern w:val="2"/>
        </w:rPr>
        <w:t>%，集装箱运量76万标箱、增长</w:t>
      </w:r>
      <w:r>
        <w:rPr>
          <w:rFonts w:ascii="Times New Roman"/>
          <w:spacing w:val="2"/>
          <w:kern w:val="2"/>
        </w:rPr>
        <w:t>17</w:t>
      </w:r>
      <w:r>
        <w:rPr>
          <w:rFonts w:hint="eastAsia" w:ascii="Times New Roman"/>
          <w:spacing w:val="2"/>
          <w:kern w:val="2"/>
        </w:rPr>
        <w:t>%。“东西互搏”上，持续推动工业园区升级改造，完成腾退整治产业用地1.4万亩，形成连片用地超4500亩、千亩以上可用地块2个。</w:t>
      </w:r>
      <w:r>
        <w:rPr>
          <w:rFonts w:hint="eastAsia" w:ascii="Times New Roman" w:eastAsia="方正楷体_GBK"/>
          <w:spacing w:val="2"/>
          <w:kern w:val="2"/>
        </w:rPr>
        <w:t>营商环境提档升级。</w:t>
      </w:r>
      <w:r>
        <w:rPr>
          <w:rFonts w:hint="eastAsia" w:ascii="Times New Roman"/>
          <w:spacing w:val="2"/>
          <w:kern w:val="2"/>
        </w:rPr>
        <w:t>入选全省首批民营经济高质量发展示范县（市、区）培育名单。优化“个人、企业、项目”三大全生命周期平台，构建“跨部门、跨区域、跨层级”数字化协同应用，9宗土地完成“交地即发证”、6629户业主完成“交房即发证”、12个项目实现“拿地即开工”，政府采购“不见面开标”实现100%覆盖，“一事一评”满意率达99.99%。</w:t>
      </w:r>
      <w:r>
        <w:rPr>
          <w:rFonts w:hint="eastAsia" w:ascii="Times New Roman" w:eastAsia="方正楷体_GBK" w:cs="方正楷体_GBK"/>
          <w:spacing w:val="2"/>
          <w:kern w:val="2"/>
        </w:rPr>
        <w:t>区域一体化步伐加快</w:t>
      </w:r>
      <w:r>
        <w:rPr>
          <w:rFonts w:hint="eastAsia" w:ascii="Times New Roman" w:eastAsia="方正楷体_GBK"/>
          <w:spacing w:val="2"/>
          <w:kern w:val="2"/>
        </w:rPr>
        <w:t>。</w:t>
      </w:r>
      <w:r>
        <w:rPr>
          <w:rFonts w:ascii="Times New Roman"/>
          <w:spacing w:val="2"/>
          <w:kern w:val="2"/>
          <w:szCs w:val="22"/>
        </w:rPr>
        <w:t>推动与锡山、惠山联动发展，签订战略合作协议；与常州天宁区、经开区签订政</w:t>
      </w:r>
      <w:r>
        <w:rPr>
          <w:rFonts w:hint="eastAsia" w:ascii="Times New Roman"/>
          <w:spacing w:val="2"/>
          <w:kern w:val="2"/>
          <w:szCs w:val="22"/>
        </w:rPr>
        <w:t>务服务“跨域通办”合</w:t>
      </w:r>
      <w:r>
        <w:rPr>
          <w:rFonts w:ascii="Times New Roman"/>
          <w:spacing w:val="2"/>
          <w:kern w:val="2"/>
          <w:szCs w:val="22"/>
        </w:rPr>
        <w:t>作协议；</w:t>
      </w:r>
      <w:r>
        <w:rPr>
          <w:rFonts w:hint="eastAsia" w:ascii="Times New Roman"/>
          <w:spacing w:val="2"/>
          <w:kern w:val="2"/>
          <w:szCs w:val="22"/>
        </w:rPr>
        <w:t>与靖江</w:t>
      </w:r>
      <w:r>
        <w:rPr>
          <w:rFonts w:ascii="Times New Roman"/>
          <w:spacing w:val="2"/>
          <w:kern w:val="2"/>
          <w:szCs w:val="22"/>
        </w:rPr>
        <w:t>谋划合作共建新格局。</w:t>
      </w:r>
      <w:r>
        <w:rPr>
          <w:rFonts w:hint="eastAsia" w:ascii="Times New Roman" w:eastAsia="方正楷体_GBK"/>
          <w:spacing w:val="2"/>
          <w:kern w:val="2"/>
        </w:rPr>
        <w:t>对外开放持续深入。</w:t>
      </w:r>
      <w:r>
        <w:rPr>
          <w:rFonts w:hint="eastAsia" w:ascii="Times New Roman"/>
          <w:spacing w:val="2"/>
          <w:kern w:val="2"/>
        </w:rPr>
        <w:t>预计完成进出口总额1570亿元，其中出口1050亿元。实际使用外资11亿美元，其中高新技术产业利用外资占制造业比重达80.6%，</w:t>
      </w:r>
      <w:r>
        <w:rPr>
          <w:rFonts w:ascii="Times New Roman"/>
          <w:spacing w:val="2"/>
          <w:kern w:val="2"/>
        </w:rPr>
        <w:t>3个项目（</w:t>
      </w:r>
      <w:r>
        <w:rPr>
          <w:rFonts w:hint="eastAsia" w:ascii="Times New Roman"/>
          <w:spacing w:val="2"/>
          <w:kern w:val="2"/>
        </w:rPr>
        <w:t>长电微电子、前晨汽车、远景动力</w:t>
      </w:r>
      <w:r>
        <w:rPr>
          <w:rFonts w:ascii="Times New Roman"/>
          <w:spacing w:val="2"/>
          <w:kern w:val="2"/>
        </w:rPr>
        <w:t>）列入</w:t>
      </w:r>
      <w:r>
        <w:rPr>
          <w:rFonts w:hint="eastAsia" w:ascii="Times New Roman"/>
          <w:spacing w:val="2"/>
          <w:kern w:val="2"/>
        </w:rPr>
        <w:t>国家级</w:t>
      </w:r>
      <w:r>
        <w:rPr>
          <w:rFonts w:ascii="Times New Roman"/>
          <w:spacing w:val="2"/>
          <w:kern w:val="2"/>
        </w:rPr>
        <w:t>重点外资项目</w:t>
      </w:r>
      <w:r>
        <w:rPr>
          <w:rFonts w:hint="eastAsia" w:ascii="Times New Roman"/>
          <w:spacing w:val="2"/>
          <w:kern w:val="2"/>
        </w:rPr>
        <w:t>。</w:t>
      </w:r>
      <w:r>
        <w:rPr>
          <w:rFonts w:ascii="Times New Roman"/>
          <w:spacing w:val="2"/>
          <w:kern w:val="2"/>
        </w:rPr>
        <w:t>新批境外投资项目</w:t>
      </w:r>
      <w:r>
        <w:rPr>
          <w:rFonts w:hint="eastAsia" w:ascii="Times New Roman"/>
          <w:spacing w:val="2"/>
          <w:kern w:val="2"/>
        </w:rPr>
        <w:t>22</w:t>
      </w:r>
      <w:r>
        <w:rPr>
          <w:rFonts w:ascii="Times New Roman"/>
          <w:spacing w:val="2"/>
          <w:kern w:val="2"/>
        </w:rPr>
        <w:t>个，</w:t>
      </w:r>
      <w:r>
        <w:rPr>
          <w:rFonts w:hint="eastAsia" w:ascii="Times New Roman"/>
          <w:spacing w:val="2"/>
          <w:kern w:val="2"/>
        </w:rPr>
        <w:t>完成对外直接投资超4亿美元、位列全省同类城市第一。</w:t>
      </w:r>
    </w:p>
    <w:p>
      <w:pPr>
        <w:ind w:firstLine="604" w:firstLineChars="200"/>
        <w:textAlignment w:val="baseline"/>
        <w:rPr>
          <w:rFonts w:ascii="Times New Roman" w:cs="仿宋"/>
          <w:kern w:val="2"/>
        </w:rPr>
      </w:pPr>
      <w:r>
        <w:rPr>
          <w:rFonts w:hint="eastAsia" w:ascii="Times New Roman" w:eastAsia="方正楷体_GBK"/>
          <w:b/>
          <w:kern w:val="2"/>
        </w:rPr>
        <w:t>（</w:t>
      </w:r>
      <w:r>
        <w:rPr>
          <w:rFonts w:hint="eastAsia" w:ascii="Times New Roman" w:eastAsia="方正楷体_GBK"/>
          <w:b/>
          <w:spacing w:val="2"/>
          <w:kern w:val="2"/>
        </w:rPr>
        <w:t>四）城乡</w:t>
      </w:r>
      <w:r>
        <w:rPr>
          <w:rFonts w:ascii="Times New Roman" w:eastAsia="方正楷体_GBK"/>
          <w:b/>
          <w:spacing w:val="2"/>
          <w:kern w:val="2"/>
        </w:rPr>
        <w:t>品质稳步提升</w:t>
      </w:r>
      <w:r>
        <w:rPr>
          <w:rFonts w:hint="eastAsia" w:ascii="Times New Roman" w:eastAsia="方正楷体_GBK"/>
          <w:b/>
          <w:spacing w:val="2"/>
          <w:kern w:val="2"/>
        </w:rPr>
        <w:t>。</w:t>
      </w:r>
      <w:r>
        <w:rPr>
          <w:rFonts w:hint="eastAsia" w:ascii="Times New Roman" w:eastAsia="方正楷体_GBK"/>
          <w:spacing w:val="2"/>
          <w:kern w:val="2"/>
        </w:rPr>
        <w:t>区域交通提质发展。</w:t>
      </w:r>
      <w:r>
        <w:rPr>
          <w:rFonts w:hint="eastAsia" w:ascii="Times New Roman"/>
          <w:spacing w:val="2"/>
          <w:kern w:val="2"/>
        </w:rPr>
        <w:t>沪宁沿江高铁正式开通运营，到发旅客115.7万人次，城际</w:t>
      </w:r>
      <w:r>
        <w:rPr>
          <w:rFonts w:ascii="Times New Roman"/>
          <w:spacing w:val="2"/>
          <w:kern w:val="2"/>
        </w:rPr>
        <w:t>轨道交通S1线</w:t>
      </w:r>
      <w:r>
        <w:rPr>
          <w:rFonts w:hint="eastAsia" w:ascii="Times New Roman"/>
          <w:spacing w:val="2"/>
          <w:kern w:val="2"/>
        </w:rPr>
        <w:t>试运行。</w:t>
      </w:r>
      <w:r>
        <w:rPr>
          <w:rFonts w:ascii="Times New Roman"/>
          <w:spacing w:val="2"/>
          <w:kern w:val="2"/>
        </w:rPr>
        <w:t>长山大道一期</w:t>
      </w:r>
      <w:r>
        <w:rPr>
          <w:rFonts w:hint="eastAsia" w:ascii="Times New Roman"/>
          <w:spacing w:val="2"/>
          <w:kern w:val="2"/>
        </w:rPr>
        <w:t>快速化改造</w:t>
      </w:r>
      <w:r>
        <w:rPr>
          <w:rFonts w:ascii="Times New Roman"/>
          <w:spacing w:val="2"/>
          <w:kern w:val="2"/>
        </w:rPr>
        <w:t>工程通车试运行，</w:t>
      </w:r>
      <w:r>
        <w:rPr>
          <w:rFonts w:hint="eastAsia" w:ascii="Times New Roman"/>
          <w:spacing w:val="2"/>
          <w:kern w:val="2"/>
        </w:rPr>
        <w:t>沪武高速扩建工程先导段开工建设，</w:t>
      </w:r>
      <w:r>
        <w:rPr>
          <w:rFonts w:ascii="Times New Roman"/>
          <w:spacing w:val="2"/>
          <w:kern w:val="2"/>
        </w:rPr>
        <w:t>江阴靖江长江隧道右线贯通、南接线全面开工，滨江路、锡澄路、新澄杨线一期等快速化改造工程顺利推进</w:t>
      </w:r>
      <w:r>
        <w:rPr>
          <w:rFonts w:hint="eastAsia" w:ascii="Times New Roman"/>
          <w:spacing w:val="2"/>
          <w:kern w:val="2"/>
        </w:rPr>
        <w:t>。</w:t>
      </w:r>
      <w:r>
        <w:rPr>
          <w:rFonts w:hint="eastAsia" w:ascii="Times New Roman" w:eastAsia="方正楷体_GBK"/>
          <w:spacing w:val="2"/>
          <w:kern w:val="2"/>
        </w:rPr>
        <w:t>城市更新全面提速。</w:t>
      </w:r>
      <w:r>
        <w:rPr>
          <w:rFonts w:hint="eastAsia" w:ascii="Times New Roman" w:cs="仿宋"/>
          <w:spacing w:val="2"/>
          <w:kern w:val="2"/>
        </w:rPr>
        <w:t>启动北大街历史文化街区等35个城市更新单元，</w:t>
      </w:r>
      <w:r>
        <w:rPr>
          <w:rFonts w:ascii="Times New Roman"/>
          <w:spacing w:val="2"/>
          <w:kern w:val="2"/>
        </w:rPr>
        <w:t>完成</w:t>
      </w:r>
      <w:r>
        <w:rPr>
          <w:rFonts w:hint="eastAsia" w:ascii="Times New Roman"/>
          <w:bCs/>
          <w:spacing w:val="2"/>
          <w:kern w:val="2"/>
        </w:rPr>
        <w:t>老旧小区改造6个、面积31.8万</w:t>
      </w:r>
      <w:r>
        <w:rPr>
          <w:rFonts w:hint="eastAsia" w:ascii="Times New Roman"/>
          <w:spacing w:val="2"/>
          <w:kern w:val="2"/>
        </w:rPr>
        <w:t>平方米，完成</w:t>
      </w:r>
      <w:r>
        <w:rPr>
          <w:rFonts w:ascii="Times New Roman"/>
          <w:spacing w:val="2"/>
          <w:kern w:val="2"/>
        </w:rPr>
        <w:t>主城区</w:t>
      </w:r>
      <w:r>
        <w:rPr>
          <w:rFonts w:hint="eastAsia" w:ascii="Times New Roman"/>
          <w:spacing w:val="2"/>
          <w:kern w:val="2"/>
        </w:rPr>
        <w:t>既有住宅加装电梯32部</w:t>
      </w:r>
      <w:r>
        <w:rPr>
          <w:rFonts w:hint="eastAsia" w:ascii="Times New Roman"/>
          <w:bCs/>
          <w:spacing w:val="2"/>
          <w:kern w:val="2"/>
        </w:rPr>
        <w:t>。</w:t>
      </w:r>
      <w:r>
        <w:rPr>
          <w:rFonts w:ascii="Times New Roman"/>
          <w:color w:val="000000" w:themeColor="text1"/>
          <w:spacing w:val="2"/>
          <w:kern w:val="2"/>
        </w:rPr>
        <w:t>城区</w:t>
      </w:r>
      <w:r>
        <w:rPr>
          <w:rFonts w:hint="eastAsia" w:ascii="Times New Roman"/>
          <w:color w:val="000000" w:themeColor="text1"/>
          <w:spacing w:val="2"/>
          <w:kern w:val="2"/>
        </w:rPr>
        <w:t>“六纵六横”道路</w:t>
      </w:r>
      <w:r>
        <w:rPr>
          <w:rFonts w:ascii="Times New Roman"/>
          <w:color w:val="000000" w:themeColor="text1"/>
          <w:spacing w:val="2"/>
          <w:kern w:val="2"/>
        </w:rPr>
        <w:t>品质提升</w:t>
      </w:r>
      <w:r>
        <w:rPr>
          <w:rFonts w:hint="eastAsia" w:ascii="Times New Roman"/>
          <w:color w:val="000000" w:themeColor="text1"/>
          <w:spacing w:val="2"/>
          <w:kern w:val="2"/>
        </w:rPr>
        <w:t>工程全面推进，环城四路和毗陵路、延陵路展现新面貌</w:t>
      </w:r>
      <w:r>
        <w:rPr>
          <w:rFonts w:ascii="Times New Roman" w:cs="仿宋"/>
          <w:spacing w:val="2"/>
          <w:kern w:val="2"/>
        </w:rPr>
        <w:t>。锡澄运河公园</w:t>
      </w:r>
      <w:r>
        <w:rPr>
          <w:rFonts w:hint="eastAsia" w:ascii="Times New Roman" w:cs="仿宋"/>
          <w:spacing w:val="2"/>
          <w:kern w:val="2"/>
        </w:rPr>
        <w:t>三</w:t>
      </w:r>
      <w:r>
        <w:rPr>
          <w:rFonts w:ascii="Times New Roman" w:cs="仿宋"/>
          <w:spacing w:val="2"/>
          <w:kern w:val="2"/>
        </w:rPr>
        <w:t>期</w:t>
      </w:r>
      <w:r>
        <w:rPr>
          <w:rFonts w:hint="eastAsia" w:ascii="Times New Roman" w:cs="仿宋"/>
          <w:spacing w:val="2"/>
          <w:kern w:val="2"/>
        </w:rPr>
        <w:t>建成投用，改造提升</w:t>
      </w:r>
      <w:r>
        <w:rPr>
          <w:rFonts w:ascii="Times New Roman"/>
          <w:spacing w:val="2"/>
          <w:kern w:val="2"/>
        </w:rPr>
        <w:t>朝阳公园</w:t>
      </w:r>
      <w:r>
        <w:rPr>
          <w:rFonts w:hint="eastAsia" w:ascii="Times New Roman" w:cs="仿宋"/>
          <w:spacing w:val="2"/>
          <w:kern w:val="2"/>
        </w:rPr>
        <w:t>等城区老旧公园绿地7</w:t>
      </w:r>
      <w:r>
        <w:rPr>
          <w:rFonts w:ascii="Times New Roman"/>
          <w:spacing w:val="2"/>
          <w:kern w:val="2"/>
        </w:rPr>
        <w:t>处</w:t>
      </w:r>
      <w:r>
        <w:rPr>
          <w:rFonts w:hint="eastAsia" w:ascii="Times New Roman" w:cs="仿宋"/>
          <w:spacing w:val="2"/>
          <w:kern w:val="2"/>
        </w:rPr>
        <w:t>，</w:t>
      </w:r>
      <w:r>
        <w:rPr>
          <w:rFonts w:ascii="Times New Roman"/>
          <w:spacing w:val="2"/>
          <w:kern w:val="2"/>
        </w:rPr>
        <w:t>新建</w:t>
      </w:r>
      <w:r>
        <w:rPr>
          <w:rFonts w:hint="eastAsia" w:ascii="Times New Roman" w:cs="仿宋"/>
          <w:spacing w:val="2"/>
          <w:kern w:val="2"/>
        </w:rPr>
        <w:t>口袋公园15个。</w:t>
      </w:r>
      <w:r>
        <w:rPr>
          <w:rFonts w:hint="eastAsia" w:ascii="Times New Roman" w:eastAsia="方正楷体_GBK"/>
          <w:spacing w:val="2"/>
          <w:kern w:val="2"/>
        </w:rPr>
        <w:t>城市治理更加精细。</w:t>
      </w:r>
      <w:r>
        <w:rPr>
          <w:rFonts w:hint="eastAsia" w:ascii="Times New Roman"/>
          <w:spacing w:val="2"/>
          <w:kern w:val="2"/>
        </w:rPr>
        <w:t>全面</w:t>
      </w:r>
      <w:r>
        <w:rPr>
          <w:rFonts w:hint="eastAsia" w:ascii="Times New Roman" w:cs="仿宋"/>
          <w:spacing w:val="2"/>
          <w:kern w:val="2"/>
        </w:rPr>
        <w:t>推进</w:t>
      </w:r>
      <w:r>
        <w:rPr>
          <w:rFonts w:hint="eastAsia" w:ascii="Times New Roman"/>
          <w:spacing w:val="2"/>
          <w:kern w:val="2"/>
        </w:rPr>
        <w:t>“全国</w:t>
      </w:r>
      <w:r>
        <w:rPr>
          <w:rFonts w:hint="eastAsia" w:ascii="Times New Roman" w:cs="仿宋"/>
          <w:spacing w:val="2"/>
          <w:kern w:val="2"/>
        </w:rPr>
        <w:t>最干净城市”建设，清洗整治建筑物外立面167万平方米，清理“三乱”3000余处。建成兴国园等“席地而坐”示范区5个，完成21条背街小巷品质提升改造。</w:t>
      </w:r>
      <w:r>
        <w:rPr>
          <w:rFonts w:ascii="Times New Roman" w:cs="仿宋"/>
          <w:spacing w:val="2"/>
          <w:kern w:val="2"/>
        </w:rPr>
        <w:t>新增</w:t>
      </w:r>
      <w:r>
        <w:rPr>
          <w:rFonts w:hint="eastAsia" w:ascii="Times New Roman" w:cs="仿宋"/>
          <w:spacing w:val="2"/>
          <w:kern w:val="2"/>
        </w:rPr>
        <w:t>城区</w:t>
      </w:r>
      <w:r>
        <w:rPr>
          <w:rFonts w:ascii="Times New Roman" w:cs="仿宋"/>
          <w:spacing w:val="2"/>
          <w:kern w:val="2"/>
        </w:rPr>
        <w:t>停车泊位</w:t>
      </w:r>
      <w:r>
        <w:rPr>
          <w:rFonts w:hint="eastAsia" w:ascii="Times New Roman" w:cs="仿宋"/>
          <w:spacing w:val="2"/>
          <w:kern w:val="2"/>
        </w:rPr>
        <w:t>超2</w:t>
      </w:r>
      <w:r>
        <w:rPr>
          <w:rFonts w:ascii="Times New Roman" w:cs="仿宋"/>
          <w:spacing w:val="2"/>
          <w:kern w:val="2"/>
        </w:rPr>
        <w:t>700个</w:t>
      </w:r>
      <w:r>
        <w:rPr>
          <w:rFonts w:hint="eastAsia" w:ascii="Times New Roman" w:cs="仿宋"/>
          <w:spacing w:val="2"/>
          <w:kern w:val="2"/>
        </w:rPr>
        <w:t>。</w:t>
      </w:r>
      <w:r>
        <w:rPr>
          <w:rFonts w:hint="eastAsia" w:ascii="Times New Roman" w:eastAsia="方正楷体_GBK"/>
          <w:spacing w:val="2"/>
          <w:kern w:val="2"/>
        </w:rPr>
        <w:t>乡村建设扎实推进。</w:t>
      </w:r>
      <w:r>
        <w:rPr>
          <w:rFonts w:hint="eastAsia" w:ascii="Times New Roman" w:cs="仿宋"/>
          <w:spacing w:val="2"/>
          <w:kern w:val="2"/>
        </w:rPr>
        <w:t>开展“三清三治”农村环境卫生专项整治，2200个自然村达到二类及以上标准</w:t>
      </w:r>
      <w:r>
        <w:rPr>
          <w:rFonts w:hint="eastAsia" w:ascii="Times New Roman"/>
          <w:spacing w:val="2"/>
          <w:kern w:val="2"/>
        </w:rPr>
        <w:t>。</w:t>
      </w:r>
      <w:r>
        <w:rPr>
          <w:rFonts w:ascii="Times New Roman"/>
          <w:spacing w:val="2"/>
          <w:kern w:val="2"/>
        </w:rPr>
        <w:t>建成现代美丽农居先行示范点2个、无锡市级以上特色田园乡村</w:t>
      </w:r>
      <w:r>
        <w:rPr>
          <w:rFonts w:hint="eastAsia" w:ascii="Times New Roman"/>
          <w:spacing w:val="2"/>
          <w:kern w:val="2"/>
        </w:rPr>
        <w:t>7</w:t>
      </w:r>
      <w:r>
        <w:rPr>
          <w:rFonts w:ascii="Times New Roman"/>
          <w:spacing w:val="2"/>
          <w:kern w:val="2"/>
        </w:rPr>
        <w:t>个、省级绿美村庄5个、省首批生态宜居美丽乡村示范镇</w:t>
      </w:r>
      <w:r>
        <w:rPr>
          <w:rFonts w:hint="eastAsia" w:ascii="Times New Roman"/>
          <w:spacing w:val="2"/>
          <w:kern w:val="2"/>
        </w:rPr>
        <w:t>村</w:t>
      </w:r>
      <w:r>
        <w:rPr>
          <w:rFonts w:ascii="Times New Roman"/>
          <w:spacing w:val="2"/>
          <w:kern w:val="2"/>
        </w:rPr>
        <w:t>1</w:t>
      </w:r>
      <w:r>
        <w:rPr>
          <w:rFonts w:hint="eastAsia" w:ascii="Times New Roman"/>
          <w:spacing w:val="2"/>
          <w:kern w:val="2"/>
        </w:rPr>
        <w:t>5</w:t>
      </w:r>
      <w:r>
        <w:rPr>
          <w:rFonts w:ascii="Times New Roman"/>
          <w:spacing w:val="2"/>
          <w:kern w:val="2"/>
        </w:rPr>
        <w:t>个、第三批全国乡村治理示范村1个。</w:t>
      </w:r>
    </w:p>
    <w:p>
      <w:pPr>
        <w:ind w:firstLine="604" w:firstLineChars="200"/>
        <w:rPr>
          <w:rFonts w:ascii="Times New Roman" w:eastAsia="方正楷体_GBK"/>
          <w:b/>
          <w:kern w:val="2"/>
        </w:rPr>
      </w:pPr>
      <w:r>
        <w:rPr>
          <w:rFonts w:hint="eastAsia" w:ascii="Times New Roman" w:eastAsia="方正楷体_GBK"/>
          <w:b/>
          <w:kern w:val="2"/>
        </w:rPr>
        <w:t>（五）生态环境持续改善。</w:t>
      </w:r>
      <w:r>
        <w:rPr>
          <w:rFonts w:hint="eastAsia" w:ascii="Times New Roman" w:eastAsia="方正楷体_GBK"/>
          <w:bCs/>
          <w:kern w:val="2"/>
        </w:rPr>
        <w:t>环境治理持续深化。</w:t>
      </w:r>
      <w:r>
        <w:rPr>
          <w:rFonts w:hint="eastAsia" w:ascii="Times New Roman"/>
          <w:kern w:val="2"/>
        </w:rPr>
        <w:t>推进环境基础设施建设，新增生活污水处理能力11.6万吨/日、危废处置能力9万吨/年，“生态未来城”入围省</w:t>
      </w:r>
      <w:r>
        <w:rPr>
          <w:rFonts w:ascii="Times New Roman"/>
          <w:kern w:val="2"/>
        </w:rPr>
        <w:t>首批</w:t>
      </w:r>
      <w:r>
        <w:rPr>
          <w:rFonts w:hint="eastAsia" w:ascii="Times New Roman"/>
          <w:kern w:val="2"/>
        </w:rPr>
        <w:t>EOD项目库。实施“重点行业整治”“臭氧污染攻坚”等专项行动，完成3</w:t>
      </w:r>
      <w:r>
        <w:rPr>
          <w:rFonts w:ascii="Times New Roman"/>
          <w:kern w:val="2"/>
        </w:rPr>
        <w:t>763</w:t>
      </w:r>
      <w:r>
        <w:rPr>
          <w:rFonts w:hint="eastAsia" w:ascii="Times New Roman"/>
          <w:kern w:val="2"/>
        </w:rPr>
        <w:t>项治气工程，PM</w:t>
      </w:r>
      <w:r>
        <w:rPr>
          <w:rFonts w:hint="eastAsia" w:ascii="Times New Roman"/>
          <w:kern w:val="2"/>
          <w:vertAlign w:val="subscript"/>
        </w:rPr>
        <w:t>2.5</w:t>
      </w:r>
      <w:r>
        <w:rPr>
          <w:rFonts w:hint="eastAsia" w:ascii="Times New Roman"/>
          <w:kern w:val="2"/>
        </w:rPr>
        <w:t>平均浓度和空气质量优良天数比率在全省排名持续提升。完成165项治水工程、162条美丽幸福河湖建设，18个国省考断面水质优Ⅲ比例继续保持100%。推进“无废城市”建设，建立一般工业固废、生活垃圾、建筑垃圾以及园林废弃物等多网融合协同收运体系，完成土壤污染防治重点工程。</w:t>
      </w:r>
      <w:r>
        <w:rPr>
          <w:rFonts w:hint="eastAsia" w:ascii="Times New Roman" w:eastAsia="方正楷体_GBK"/>
          <w:kern w:val="2"/>
        </w:rPr>
        <w:t>生态底色不断擦亮</w:t>
      </w:r>
      <w:r>
        <w:rPr>
          <w:rFonts w:hint="eastAsia" w:ascii="Times New Roman" w:eastAsia="方正楷体_GBK"/>
          <w:bCs/>
          <w:kern w:val="2"/>
        </w:rPr>
        <w:t>。</w:t>
      </w:r>
      <w:r>
        <w:rPr>
          <w:rFonts w:hint="eastAsia" w:ascii="Times New Roman"/>
          <w:kern w:val="2"/>
        </w:rPr>
        <w:t>全力争创国家森林城市，完成造林绿化</w:t>
      </w:r>
      <w:r>
        <w:rPr>
          <w:rFonts w:ascii="Times New Roman"/>
          <w:kern w:val="2"/>
        </w:rPr>
        <w:t>5612</w:t>
      </w:r>
      <w:r>
        <w:rPr>
          <w:rFonts w:hint="eastAsia" w:ascii="Times New Roman"/>
          <w:kern w:val="2"/>
        </w:rPr>
        <w:t>亩</w:t>
      </w:r>
      <w:r>
        <w:rPr>
          <w:rFonts w:hint="eastAsia" w:ascii="Times New Roman" w:cs="方正仿宋_GBK"/>
          <w:kern w:val="2"/>
        </w:rPr>
        <w:t>，</w:t>
      </w:r>
      <w:r>
        <w:rPr>
          <w:rFonts w:ascii="Times New Roman"/>
          <w:kern w:val="2"/>
        </w:rPr>
        <w:t>林木</w:t>
      </w:r>
      <w:r>
        <w:rPr>
          <w:rFonts w:hint="eastAsia" w:ascii="Times New Roman"/>
          <w:kern w:val="2"/>
        </w:rPr>
        <w:t>覆盖</w:t>
      </w:r>
      <w:r>
        <w:rPr>
          <w:rFonts w:ascii="Times New Roman"/>
          <w:kern w:val="2"/>
        </w:rPr>
        <w:t>率</w:t>
      </w:r>
      <w:r>
        <w:rPr>
          <w:rFonts w:hint="eastAsia" w:ascii="Times New Roman"/>
          <w:kern w:val="2"/>
        </w:rPr>
        <w:t>稳定在25%以上。</w:t>
      </w:r>
      <w:r>
        <w:rPr>
          <w:rFonts w:hint="eastAsia" w:ascii="Times New Roman" w:cs="方正仿宋_GBK"/>
          <w:kern w:val="2"/>
        </w:rPr>
        <w:t>完成白屈</w:t>
      </w:r>
      <w:r>
        <w:rPr>
          <w:rFonts w:ascii="Times New Roman"/>
          <w:kern w:val="2"/>
        </w:rPr>
        <w:t>港长江湿地保护小区建设，</w:t>
      </w:r>
      <w:r>
        <w:rPr>
          <w:rFonts w:hint="eastAsia" w:ascii="Times New Roman"/>
          <w:kern w:val="2"/>
        </w:rPr>
        <w:t>建成霞客湾生态湿地2平方公里，</w:t>
      </w:r>
      <w:r>
        <w:rPr>
          <w:rFonts w:hint="eastAsia" w:ascii="Times New Roman" w:cs="方正仿宋_GBK"/>
          <w:kern w:val="2"/>
        </w:rPr>
        <w:t>推动窑港口长江湿地保护小区升级为省级湿地公园</w:t>
      </w:r>
      <w:r>
        <w:rPr>
          <w:rFonts w:hint="eastAsia" w:ascii="Times New Roman"/>
          <w:kern w:val="2"/>
        </w:rPr>
        <w:t>，自然湿地保护率达27.8%。</w:t>
      </w:r>
      <w:r>
        <w:rPr>
          <w:rFonts w:hint="eastAsia" w:ascii="Times New Roman" w:eastAsia="方正楷体_GBK"/>
          <w:bCs/>
          <w:kern w:val="2"/>
        </w:rPr>
        <w:t>绿色发展深入推进。</w:t>
      </w:r>
      <w:r>
        <w:rPr>
          <w:rFonts w:hint="eastAsia" w:ascii="Times New Roman"/>
          <w:kern w:val="2"/>
        </w:rPr>
        <w:t>加快推进生态环境治理现代化县域示范建设，创新排污总量管理，保障37个省、市重大项目落地。</w:t>
      </w:r>
      <w:r>
        <w:rPr>
          <w:rFonts w:hint="eastAsia" w:ascii="Times New Roman" w:cs="方正仿宋_GBK"/>
          <w:kern w:val="2"/>
        </w:rPr>
        <w:t>新增国家级绿色工厂4家、国家绿色供应链管理企业1家、省级绿色工厂9家</w:t>
      </w:r>
      <w:r>
        <w:rPr>
          <w:rFonts w:ascii="Times New Roman"/>
          <w:kern w:val="2"/>
        </w:rPr>
        <w:t>、</w:t>
      </w:r>
      <w:r>
        <w:rPr>
          <w:rFonts w:hint="eastAsia" w:ascii="Times New Roman"/>
          <w:kern w:val="2"/>
        </w:rPr>
        <w:t>省级绿色发展领军企业3家</w:t>
      </w:r>
      <w:r>
        <w:rPr>
          <w:rFonts w:ascii="Times New Roman"/>
          <w:kern w:val="2"/>
        </w:rPr>
        <w:t>，</w:t>
      </w:r>
      <w:r>
        <w:rPr>
          <w:rFonts w:hint="eastAsia" w:ascii="Times New Roman"/>
          <w:kern w:val="2"/>
        </w:rPr>
        <w:t>全市</w:t>
      </w:r>
      <w:r>
        <w:rPr>
          <w:rFonts w:ascii="Times New Roman"/>
          <w:kern w:val="2"/>
        </w:rPr>
        <w:t>实现节能量</w:t>
      </w:r>
      <w:r>
        <w:rPr>
          <w:rFonts w:hint="eastAsia" w:ascii="Times New Roman"/>
          <w:kern w:val="2"/>
        </w:rPr>
        <w:t>5</w:t>
      </w:r>
      <w:r>
        <w:rPr>
          <w:rFonts w:ascii="Times New Roman"/>
          <w:kern w:val="2"/>
        </w:rPr>
        <w:t>万吨标煤。</w:t>
      </w:r>
      <w:r>
        <w:rPr>
          <w:rFonts w:hint="eastAsia" w:ascii="Times New Roman"/>
          <w:kern w:val="2"/>
        </w:rPr>
        <w:t>关闭退出</w:t>
      </w:r>
      <w:r>
        <w:rPr>
          <w:rFonts w:ascii="Times New Roman"/>
          <w:kern w:val="2"/>
        </w:rPr>
        <w:t>印染企业</w:t>
      </w:r>
      <w:r>
        <w:rPr>
          <w:rFonts w:hint="eastAsia" w:ascii="Times New Roman"/>
          <w:kern w:val="2"/>
        </w:rPr>
        <w:t>22家</w:t>
      </w:r>
      <w:r>
        <w:rPr>
          <w:rFonts w:ascii="Times New Roman"/>
          <w:kern w:val="2"/>
        </w:rPr>
        <w:t>，</w:t>
      </w:r>
      <w:r>
        <w:rPr>
          <w:rFonts w:hint="eastAsia" w:ascii="Times New Roman"/>
          <w:kern w:val="2"/>
        </w:rPr>
        <w:t>建成长泾镇印染集聚区一期工程。</w:t>
      </w:r>
    </w:p>
    <w:p>
      <w:pPr>
        <w:ind w:firstLine="604" w:firstLineChars="200"/>
        <w:rPr>
          <w:rFonts w:ascii="Times New Roman" w:cs="方正仿宋_GBK"/>
          <w:kern w:val="2"/>
        </w:rPr>
      </w:pPr>
      <w:r>
        <w:rPr>
          <w:rFonts w:hint="eastAsia" w:ascii="Times New Roman" w:eastAsia="方正楷体_GBK"/>
          <w:b/>
          <w:kern w:val="2"/>
        </w:rPr>
        <w:t>（六）社会事业全面发展。</w:t>
      </w:r>
      <w:r>
        <w:rPr>
          <w:rFonts w:hint="eastAsia" w:ascii="Times New Roman" w:eastAsia="方正楷体_GBK"/>
          <w:bCs/>
          <w:kern w:val="2"/>
        </w:rPr>
        <w:t>社会保障</w:t>
      </w:r>
      <w:r>
        <w:rPr>
          <w:rFonts w:hint="eastAsia" w:ascii="Times New Roman" w:eastAsia="方正楷体_GBK" w:cs="方正楷体_GBK"/>
          <w:bCs/>
          <w:kern w:val="2"/>
        </w:rPr>
        <w:t>更加坚实</w:t>
      </w:r>
      <w:r>
        <w:rPr>
          <w:rFonts w:hint="eastAsia" w:ascii="Times New Roman" w:eastAsia="方正楷体_GBK"/>
          <w:bCs/>
          <w:kern w:val="2"/>
        </w:rPr>
        <w:t>。</w:t>
      </w:r>
      <w:r>
        <w:rPr>
          <w:rFonts w:hint="eastAsia" w:ascii="Times New Roman"/>
          <w:kern w:val="2"/>
        </w:rPr>
        <w:t>发放稳岗返还资金1.26亿元，减免失业保险费6.74亿元。社保扩面新增3.3万人，城乡居民养老保险基础养老金、被征地农民养老年龄段人员养老补助金标准分别提高至507元、1075元（较上年分别提高40元、10元）。居民医保人均筹资标准提高至</w:t>
      </w:r>
      <w:r>
        <w:rPr>
          <w:rFonts w:ascii="Times New Roman"/>
          <w:kern w:val="2"/>
        </w:rPr>
        <w:t>14</w:t>
      </w:r>
      <w:r>
        <w:rPr>
          <w:rFonts w:hint="eastAsia" w:ascii="Times New Roman"/>
          <w:kern w:val="2"/>
        </w:rPr>
        <w:t>4</w:t>
      </w:r>
      <w:r>
        <w:rPr>
          <w:rFonts w:ascii="Times New Roman"/>
          <w:kern w:val="2"/>
        </w:rPr>
        <w:t>0</w:t>
      </w:r>
      <w:r>
        <w:rPr>
          <w:rFonts w:hint="eastAsia" w:ascii="Times New Roman"/>
          <w:kern w:val="2"/>
        </w:rPr>
        <w:t>元（较上年提高40元）</w:t>
      </w:r>
      <w:r>
        <w:rPr>
          <w:rFonts w:hint="eastAsia" w:ascii="Times New Roman" w:eastAsia="方正楷体_GBK" w:cs="方正楷体_GBK"/>
          <w:bCs/>
          <w:kern w:val="2"/>
        </w:rPr>
        <w:t>。</w:t>
      </w:r>
      <w:r>
        <w:rPr>
          <w:rFonts w:hint="eastAsia" w:ascii="Times New Roman"/>
          <w:kern w:val="2"/>
        </w:rPr>
        <w:t>完</w:t>
      </w:r>
      <w:r>
        <w:rPr>
          <w:rFonts w:ascii="Times New Roman"/>
          <w:kern w:val="2"/>
        </w:rPr>
        <w:t>成国家级社会联动救助基本公共服务标准化专项试点。</w:t>
      </w:r>
      <w:r>
        <w:rPr>
          <w:rFonts w:hint="eastAsia" w:ascii="Times New Roman" w:eastAsia="方正楷体_GBK"/>
          <w:bCs/>
          <w:kern w:val="2"/>
        </w:rPr>
        <w:t>教育资源提质扩容。</w:t>
      </w:r>
      <w:r>
        <w:rPr>
          <w:rFonts w:hint="eastAsia" w:ascii="Times New Roman"/>
          <w:kern w:val="2"/>
          <w:szCs w:val="24"/>
        </w:rPr>
        <w:t>滨江科技城中小学、澄西高中新校区等</w:t>
      </w:r>
      <w:r>
        <w:rPr>
          <w:rFonts w:hint="eastAsia" w:ascii="Times New Roman"/>
          <w:kern w:val="2"/>
        </w:rPr>
        <w:t>等建成投用</w:t>
      </w:r>
      <w:r>
        <w:rPr>
          <w:rFonts w:hint="eastAsia" w:ascii="Times New Roman"/>
          <w:kern w:val="2"/>
          <w:szCs w:val="24"/>
        </w:rPr>
        <w:t>，新增学位12360个。南菁实验学校城西校区、华师大江阴实验学校等项目有序推进。通过省义务教育优质均衡发展县（市、区）评估，义务教育优质均衡达标率提升至90.6%。</w:t>
      </w:r>
      <w:r>
        <w:rPr>
          <w:rFonts w:hint="eastAsia" w:ascii="Times New Roman" w:eastAsia="方正楷体_GBK" w:cs="方正楷体_GBK"/>
          <w:bCs/>
          <w:kern w:val="2"/>
        </w:rPr>
        <w:t>健康江阴稳步推进。</w:t>
      </w:r>
      <w:r>
        <w:rPr>
          <w:rFonts w:ascii="Times New Roman"/>
          <w:kern w:val="2"/>
        </w:rPr>
        <w:t>市中医院异地新建、市妇保院改建等</w:t>
      </w:r>
      <w:r>
        <w:rPr>
          <w:rFonts w:hint="eastAsia" w:ascii="Times New Roman"/>
          <w:kern w:val="2"/>
        </w:rPr>
        <w:t>项目稳步推进，市中医院创成</w:t>
      </w:r>
      <w:r>
        <w:rPr>
          <w:rFonts w:ascii="Times New Roman"/>
          <w:kern w:val="2"/>
        </w:rPr>
        <w:t>三甲中</w:t>
      </w:r>
      <w:r>
        <w:rPr>
          <w:rFonts w:hint="eastAsia" w:ascii="Times New Roman"/>
          <w:kern w:val="2"/>
        </w:rPr>
        <w:t>医</w:t>
      </w:r>
      <w:r>
        <w:rPr>
          <w:rFonts w:ascii="Times New Roman"/>
          <w:kern w:val="2"/>
        </w:rPr>
        <w:t>医院</w:t>
      </w:r>
      <w:r>
        <w:rPr>
          <w:rFonts w:hint="eastAsia" w:ascii="Times New Roman"/>
          <w:kern w:val="2"/>
        </w:rPr>
        <w:t>，市人民医院位列艾力彼全国县级医院</w:t>
      </w:r>
      <w:r>
        <w:rPr>
          <w:rFonts w:ascii="Times New Roman"/>
          <w:kern w:val="2"/>
        </w:rPr>
        <w:t>竞争力</w:t>
      </w:r>
      <w:r>
        <w:rPr>
          <w:rFonts w:hint="eastAsia" w:ascii="Times New Roman"/>
          <w:kern w:val="2"/>
        </w:rPr>
        <w:t>排名榜首。</w:t>
      </w:r>
      <w:r>
        <w:rPr>
          <w:rFonts w:hint="eastAsia" w:ascii="Times New Roman" w:eastAsia="方正楷体_GBK" w:cs="方正楷体_GBK"/>
          <w:bCs/>
          <w:kern w:val="2"/>
        </w:rPr>
        <w:t>文体事业蓬勃发展。</w:t>
      </w:r>
      <w:r>
        <w:rPr>
          <w:rFonts w:hint="eastAsia" w:ascii="Times New Roman"/>
          <w:kern w:val="2"/>
        </w:rPr>
        <w:t>开展文体惠民活动</w:t>
      </w:r>
      <w:r>
        <w:rPr>
          <w:rFonts w:ascii="Times New Roman"/>
          <w:kern w:val="2"/>
        </w:rPr>
        <w:t>3500</w:t>
      </w:r>
      <w:r>
        <w:rPr>
          <w:rFonts w:hint="eastAsia" w:ascii="Times New Roman"/>
          <w:kern w:val="2"/>
        </w:rPr>
        <w:t>余场次。5个项目入选省级非遗。实现亚运会金牌零突破，获省级以上体育竞赛金牌81枚，</w:t>
      </w:r>
      <w:r>
        <w:rPr>
          <w:rFonts w:ascii="Times New Roman"/>
          <w:kern w:val="2"/>
        </w:rPr>
        <w:t>承办省级以上体育竞赛29项次。</w:t>
      </w:r>
      <w:r>
        <w:rPr>
          <w:rFonts w:hint="eastAsia" w:ascii="Times New Roman" w:eastAsia="方正楷体_GBK" w:cs="方正楷体_GBK"/>
          <w:bCs/>
          <w:kern w:val="2"/>
        </w:rPr>
        <w:t>社会安全保持稳定</w:t>
      </w:r>
      <w:r>
        <w:rPr>
          <w:rFonts w:hint="eastAsia" w:ascii="Times New Roman"/>
          <w:kern w:val="2"/>
        </w:rPr>
        <w:t>。统筹推进全市重点行业领域安全生产风险专项整治巩固提升行动、基础建设强化推进年行动、重大事故隐患专项排查整治行动，</w:t>
      </w:r>
      <w:r>
        <w:rPr>
          <w:rFonts w:ascii="Times New Roman"/>
          <w:kern w:val="2"/>
        </w:rPr>
        <w:t>安全生产事故起数和亡人数</w:t>
      </w:r>
      <w:r>
        <w:rPr>
          <w:rFonts w:hint="eastAsia" w:ascii="Times New Roman"/>
          <w:kern w:val="2"/>
        </w:rPr>
        <w:t>双下降</w:t>
      </w:r>
      <w:r>
        <w:rPr>
          <w:rFonts w:ascii="Times New Roman"/>
          <w:kern w:val="2"/>
        </w:rPr>
        <w:t>。</w:t>
      </w:r>
      <w:r>
        <w:rPr>
          <w:rFonts w:hint="eastAsia" w:ascii="Times New Roman" w:cs="方正仿宋_GBK"/>
          <w:kern w:val="2"/>
        </w:rPr>
        <w:t>开展突出矛盾排摸化解、重点人员排查管控、治安乱点排患整治、雪亮工程排盲提质“四个百日攻坚”专项行动，成功化解各类矛盾纠纷1808件，群众安全感达99.5%。有效化解信访件，有序处置“问题楼盘”，社会大局保持和谐稳定。</w:t>
      </w:r>
    </w:p>
    <w:p>
      <w:pPr>
        <w:ind w:firstLine="604" w:firstLineChars="200"/>
        <w:rPr>
          <w:rFonts w:ascii="Times New Roman" w:cs="方正仿宋_GBK"/>
          <w:kern w:val="2"/>
        </w:rPr>
      </w:pPr>
      <w:r>
        <w:rPr>
          <w:rFonts w:hint="eastAsia" w:ascii="Times New Roman" w:cs="方正仿宋_GBK"/>
          <w:kern w:val="2"/>
        </w:rPr>
        <w:t>肯定成绩的同时，我们也清醒看到，国民经济和社会发展面临不少困难和矛盾：宏观经济形势仍然复杂严峻，有效需求不足，部分行业产能过剩，社会预期偏弱，经济稳定增长的基础还不牢固，消费市场回暖不快，稳外贸的压力依然较大；部分重点领域、关键环节改革还有待攻坚，市场发展活力动力需进一步激发；资源要素制约依然突出，环境质量仍然有待改善，民生领域还存在短板弱项，安全生产风险隐患不容忽视。对此，我们需要高度重视，坚持稳中求进，以进促稳，先立后破，采取务实举措，切实做好各项工作。</w:t>
      </w:r>
    </w:p>
    <w:p>
      <w:pPr>
        <w:ind w:firstLine="604" w:firstLineChars="200"/>
        <w:rPr>
          <w:rFonts w:ascii="Times New Roman" w:eastAsia="方正黑体_GBK"/>
          <w:kern w:val="2"/>
        </w:rPr>
      </w:pPr>
      <w:r>
        <w:rPr>
          <w:rFonts w:hint="eastAsia" w:ascii="Times New Roman" w:eastAsia="方正黑体_GBK"/>
          <w:kern w:val="2"/>
        </w:rPr>
        <w:t>二、2024年国民经济和社会发展主要目标和任务</w:t>
      </w:r>
    </w:p>
    <w:p>
      <w:pPr>
        <w:ind w:firstLine="604" w:firstLineChars="200"/>
        <w:rPr>
          <w:rFonts w:ascii="Times New Roman"/>
          <w:kern w:val="2"/>
        </w:rPr>
      </w:pPr>
      <w:r>
        <w:rPr>
          <w:rFonts w:hint="eastAsia" w:ascii="Times New Roman"/>
          <w:kern w:val="2"/>
        </w:rPr>
        <w:t>2024年是中华人民共和国成立75周年，是全面完成“十四五”规划目标任务的关键一年，也是总书记擘画“强富美高”新江苏宏伟蓝图10周年，做好各项工作意义重大。基于国内外形势、上级要求和我市实际情况，建议2024年主要目标安排如下：</w:t>
      </w:r>
    </w:p>
    <w:p>
      <w:pPr>
        <w:ind w:firstLine="604" w:firstLineChars="200"/>
        <w:rPr>
          <w:rFonts w:ascii="Times New Roman"/>
          <w:kern w:val="2"/>
        </w:rPr>
      </w:pPr>
      <w:r>
        <w:rPr>
          <w:rFonts w:hint="eastAsia" w:ascii="Times New Roman"/>
          <w:kern w:val="2"/>
        </w:rPr>
        <w:t>（一）地区生产总值增长5%以上；</w:t>
      </w:r>
    </w:p>
    <w:p>
      <w:pPr>
        <w:ind w:firstLine="604" w:firstLineChars="200"/>
        <w:rPr>
          <w:rFonts w:ascii="Times New Roman"/>
          <w:kern w:val="2"/>
        </w:rPr>
      </w:pPr>
      <w:r>
        <w:rPr>
          <w:rFonts w:hint="eastAsia" w:ascii="Times New Roman"/>
          <w:kern w:val="2"/>
        </w:rPr>
        <w:t>（二）一般公共预算收入增长5%；</w:t>
      </w:r>
    </w:p>
    <w:p>
      <w:pPr>
        <w:ind w:firstLine="604" w:firstLineChars="200"/>
        <w:rPr>
          <w:rFonts w:ascii="Times New Roman"/>
          <w:kern w:val="2"/>
        </w:rPr>
      </w:pPr>
      <w:r>
        <w:rPr>
          <w:rFonts w:hint="eastAsia" w:ascii="Times New Roman"/>
          <w:kern w:val="2"/>
        </w:rPr>
        <w:t>（三）规模以上工业增加值增长6%；</w:t>
      </w:r>
    </w:p>
    <w:p>
      <w:pPr>
        <w:ind w:firstLine="604" w:firstLineChars="200"/>
        <w:rPr>
          <w:rFonts w:ascii="Times New Roman"/>
          <w:kern w:val="2"/>
        </w:rPr>
      </w:pPr>
      <w:r>
        <w:rPr>
          <w:rFonts w:hint="eastAsia" w:ascii="Times New Roman"/>
          <w:kern w:val="2"/>
        </w:rPr>
        <w:t>（四）规模以上服务业营业收入增长5%左右；</w:t>
      </w:r>
    </w:p>
    <w:p>
      <w:pPr>
        <w:ind w:firstLine="604" w:firstLineChars="200"/>
        <w:rPr>
          <w:rFonts w:ascii="Times New Roman"/>
          <w:kern w:val="2"/>
        </w:rPr>
      </w:pPr>
      <w:r>
        <w:rPr>
          <w:rFonts w:hint="eastAsia" w:ascii="Times New Roman"/>
          <w:kern w:val="2"/>
        </w:rPr>
        <w:t>（五）固定资产投资完成900亿元；</w:t>
      </w:r>
    </w:p>
    <w:p>
      <w:pPr>
        <w:ind w:firstLine="604" w:firstLineChars="200"/>
        <w:rPr>
          <w:rFonts w:ascii="Times New Roman"/>
          <w:kern w:val="2"/>
        </w:rPr>
      </w:pPr>
      <w:r>
        <w:rPr>
          <w:rFonts w:hint="eastAsia" w:ascii="Times New Roman"/>
          <w:kern w:val="2"/>
        </w:rPr>
        <w:t>（六）社会消费品零售总额增长5%以上；</w:t>
      </w:r>
    </w:p>
    <w:p>
      <w:pPr>
        <w:ind w:firstLine="604" w:firstLineChars="200"/>
        <w:rPr>
          <w:rFonts w:ascii="Times New Roman"/>
          <w:kern w:val="2"/>
        </w:rPr>
      </w:pPr>
      <w:r>
        <w:rPr>
          <w:rFonts w:hint="eastAsia" w:ascii="Times New Roman"/>
          <w:kern w:val="2"/>
        </w:rPr>
        <w:t>（七）进出口总额稳中提质；</w:t>
      </w:r>
    </w:p>
    <w:p>
      <w:pPr>
        <w:ind w:firstLine="604" w:firstLineChars="200"/>
        <w:rPr>
          <w:rFonts w:ascii="Times New Roman"/>
          <w:kern w:val="2"/>
        </w:rPr>
      </w:pPr>
      <w:r>
        <w:rPr>
          <w:rFonts w:hint="eastAsia" w:ascii="Times New Roman"/>
          <w:kern w:val="2"/>
        </w:rPr>
        <w:t>（八）实际使用外资9.5亿美元；</w:t>
      </w:r>
    </w:p>
    <w:p>
      <w:pPr>
        <w:ind w:firstLine="604" w:firstLineChars="200"/>
        <w:rPr>
          <w:rFonts w:ascii="Times New Roman"/>
          <w:kern w:val="2"/>
        </w:rPr>
      </w:pPr>
      <w:r>
        <w:rPr>
          <w:rFonts w:hint="eastAsia" w:ascii="Times New Roman"/>
          <w:kern w:val="2"/>
        </w:rPr>
        <w:t>（九）居民人均可支配收入增幅与经济增长保持同步；</w:t>
      </w:r>
    </w:p>
    <w:p>
      <w:pPr>
        <w:ind w:firstLine="604" w:firstLineChars="200"/>
        <w:rPr>
          <w:rFonts w:ascii="Times New Roman"/>
          <w:kern w:val="2"/>
        </w:rPr>
      </w:pPr>
      <w:r>
        <w:rPr>
          <w:rFonts w:hint="eastAsia" w:ascii="Times New Roman"/>
          <w:kern w:val="2"/>
        </w:rPr>
        <w:t>（十）城镇新增就业人数2.6万人，城镇调查失业率控制在5%左右；</w:t>
      </w:r>
    </w:p>
    <w:p>
      <w:pPr>
        <w:ind w:firstLine="604" w:firstLineChars="200"/>
        <w:rPr>
          <w:rFonts w:ascii="Times New Roman"/>
          <w:kern w:val="2"/>
        </w:rPr>
      </w:pPr>
      <w:r>
        <w:rPr>
          <w:rFonts w:hint="eastAsia" w:ascii="Times New Roman"/>
          <w:kern w:val="2"/>
        </w:rPr>
        <w:t>（十一）单位GDP能耗下降完成上级下达的目标任务；</w:t>
      </w:r>
    </w:p>
    <w:p>
      <w:pPr>
        <w:ind w:firstLine="604" w:firstLineChars="200"/>
        <w:rPr>
          <w:rFonts w:ascii="Times New Roman"/>
          <w:kern w:val="2"/>
        </w:rPr>
      </w:pPr>
      <w:r>
        <w:rPr>
          <w:rFonts w:hint="eastAsia" w:ascii="Times New Roman"/>
          <w:kern w:val="2"/>
        </w:rPr>
        <w:t>（十二）化学需氧量、氨氮、挥发性有机物和氮氧化物等主要污染物减排量完成上级下达目标任务；</w:t>
      </w:r>
    </w:p>
    <w:p>
      <w:pPr>
        <w:ind w:firstLine="604" w:firstLineChars="200"/>
        <w:rPr>
          <w:rFonts w:ascii="Times New Roman"/>
          <w:kern w:val="2"/>
        </w:rPr>
      </w:pPr>
      <w:r>
        <w:rPr>
          <w:rFonts w:hint="eastAsia" w:ascii="Times New Roman"/>
          <w:kern w:val="2"/>
        </w:rPr>
        <w:t>（十三）PM</w:t>
      </w:r>
      <w:r>
        <w:rPr>
          <w:rFonts w:hint="eastAsia" w:ascii="Times New Roman"/>
          <w:kern w:val="2"/>
          <w:vertAlign w:val="subscript"/>
        </w:rPr>
        <w:t>2.5</w:t>
      </w:r>
      <w:r>
        <w:rPr>
          <w:rFonts w:hint="eastAsia" w:ascii="Times New Roman"/>
          <w:kern w:val="2"/>
        </w:rPr>
        <w:t>年均浓度、空气质量优良天数比率、地表水达到或好于Ⅲ类水体比例完成上级下达的目标任务。</w:t>
      </w:r>
    </w:p>
    <w:p>
      <w:pPr>
        <w:ind w:firstLine="604" w:firstLineChars="200"/>
        <w:rPr>
          <w:rFonts w:ascii="Times New Roman"/>
          <w:kern w:val="2"/>
        </w:rPr>
      </w:pPr>
      <w:r>
        <w:rPr>
          <w:rFonts w:hint="eastAsia" w:ascii="Times New Roman"/>
          <w:kern w:val="2"/>
        </w:rPr>
        <w:t>为实现以上计划目标并全面推进国民经济和社会发展，2024年重点抓好以下几个方面工作：</w:t>
      </w:r>
    </w:p>
    <w:p>
      <w:pPr>
        <w:ind w:firstLine="604" w:firstLineChars="200"/>
        <w:rPr>
          <w:rFonts w:ascii="Times New Roman"/>
          <w:kern w:val="2"/>
        </w:rPr>
      </w:pPr>
      <w:r>
        <w:rPr>
          <w:rFonts w:hint="eastAsia" w:ascii="Times New Roman" w:eastAsia="方正楷体_GBK" w:cs="仿宋"/>
          <w:b/>
          <w:kern w:val="2"/>
        </w:rPr>
        <w:t>（</w:t>
      </w:r>
      <w:r>
        <w:rPr>
          <w:rFonts w:hint="eastAsia" w:ascii="Times New Roman" w:eastAsia="方正楷体_GBK" w:cs="仿宋"/>
          <w:b/>
          <w:spacing w:val="3"/>
          <w:kern w:val="2"/>
        </w:rPr>
        <w:t>一）夯实经济发展根基，巩固稳定增长态势。</w:t>
      </w:r>
      <w:r>
        <w:rPr>
          <w:rFonts w:hint="eastAsia" w:ascii="Times New Roman" w:eastAsia="方正楷体_GBK" w:cs="仿宋"/>
          <w:spacing w:val="3"/>
          <w:kern w:val="2"/>
        </w:rPr>
        <w:t>加快推动产业转型。</w:t>
      </w:r>
      <w:r>
        <w:rPr>
          <w:rFonts w:hint="eastAsia" w:ascii="Times New Roman"/>
          <w:spacing w:val="3"/>
          <w:kern w:val="2"/>
        </w:rPr>
        <w:t>聚焦“345”现代产业集群，加快培育一批产业链龙头企业和产业集群领军企业。</w:t>
      </w:r>
      <w:r>
        <w:rPr>
          <w:rFonts w:hint="eastAsia" w:ascii="Times New Roman" w:cs="方正仿宋_GBK"/>
          <w:spacing w:val="3"/>
          <w:kern w:val="2"/>
        </w:rPr>
        <w:t>新增上市公司3家</w:t>
      </w:r>
      <w:r>
        <w:rPr>
          <w:rFonts w:hint="eastAsia" w:ascii="Times New Roman" w:cs="方正仿宋_GBK"/>
          <w:bCs/>
          <w:spacing w:val="3"/>
          <w:kern w:val="2"/>
        </w:rPr>
        <w:t>及</w:t>
      </w:r>
      <w:r>
        <w:rPr>
          <w:rFonts w:hint="eastAsia" w:ascii="Times New Roman" w:cs="方正仿宋_GBK"/>
          <w:spacing w:val="3"/>
          <w:kern w:val="2"/>
        </w:rPr>
        <w:t>以上，</w:t>
      </w:r>
      <w:r>
        <w:rPr>
          <w:rFonts w:hint="eastAsia" w:ascii="Times New Roman" w:cs="方正仿宋_GBK"/>
          <w:bCs/>
          <w:spacing w:val="3"/>
          <w:kern w:val="2"/>
        </w:rPr>
        <w:t>力争</w:t>
      </w:r>
      <w:r>
        <w:rPr>
          <w:rFonts w:hint="eastAsia" w:ascii="Times New Roman" w:cs="方正仿宋_GBK"/>
          <w:spacing w:val="3"/>
          <w:kern w:val="2"/>
        </w:rPr>
        <w:t>推动科创板上市实现新突破</w:t>
      </w:r>
      <w:r>
        <w:rPr>
          <w:rFonts w:hint="eastAsia" w:ascii="Times New Roman"/>
          <w:spacing w:val="3"/>
          <w:kern w:val="2"/>
        </w:rPr>
        <w:t>。</w:t>
      </w:r>
      <w:r>
        <w:rPr>
          <w:rFonts w:ascii="Times New Roman"/>
          <w:spacing w:val="3"/>
          <w:kern w:val="2"/>
        </w:rPr>
        <w:t>加快</w:t>
      </w:r>
      <w:r>
        <w:rPr>
          <w:rFonts w:hint="eastAsia" w:ascii="Times New Roman"/>
          <w:spacing w:val="3"/>
          <w:kern w:val="2"/>
        </w:rPr>
        <w:t>“智改数转网联”步</w:t>
      </w:r>
      <w:r>
        <w:rPr>
          <w:rFonts w:ascii="Times New Roman"/>
          <w:spacing w:val="3"/>
          <w:kern w:val="2"/>
        </w:rPr>
        <w:t>伐</w:t>
      </w:r>
      <w:r>
        <w:rPr>
          <w:rFonts w:hint="eastAsia" w:ascii="Times New Roman"/>
          <w:spacing w:val="3"/>
          <w:kern w:val="2"/>
        </w:rPr>
        <w:t>，年内实现全市规上工业企业数字化诊断全覆盖，争创各级智能制造标杆200个以上</w:t>
      </w:r>
      <w:r>
        <w:rPr>
          <w:rFonts w:ascii="Times New Roman"/>
          <w:spacing w:val="3"/>
          <w:kern w:val="2"/>
        </w:rPr>
        <w:t>，</w:t>
      </w:r>
      <w:r>
        <w:rPr>
          <w:rFonts w:hint="eastAsia" w:ascii="Times New Roman"/>
          <w:spacing w:val="3"/>
          <w:kern w:val="2"/>
        </w:rPr>
        <w:t>数字经济核心产业营收达640亿元。</w:t>
      </w:r>
      <w:r>
        <w:rPr>
          <w:rFonts w:ascii="Times New Roman"/>
          <w:spacing w:val="3"/>
          <w:kern w:val="2"/>
        </w:rPr>
        <w:t>积极开展两业融合试点，培育一批两业融合龙头骨干企业、产业集群试点和区域集群试点。</w:t>
      </w:r>
      <w:r>
        <w:rPr>
          <w:rFonts w:hint="eastAsia" w:ascii="Times New Roman" w:eastAsia="方正楷体_GBK" w:cs="仿宋"/>
          <w:spacing w:val="3"/>
          <w:kern w:val="2"/>
        </w:rPr>
        <w:t>坚持扩大有效投资</w:t>
      </w:r>
      <w:r>
        <w:rPr>
          <w:rFonts w:hint="eastAsia" w:ascii="Times New Roman"/>
          <w:spacing w:val="3"/>
          <w:kern w:val="2"/>
        </w:rPr>
        <w:t>。综合运用基金招商、以商招商、产业链招商等方式，精准招引一批龙头型企业、节点型项目，年内招引落地超50亿元项目3个、其中超百亿元项目2个。加快推进双良新能源、盛合晶微二工厂等项目建设，确保风和医疗等项目竣工投产。发挥政府投资带动作用，全年实施政府投资项目150个、完成投资220亿元。</w:t>
      </w:r>
      <w:r>
        <w:rPr>
          <w:rFonts w:hint="eastAsia" w:ascii="Times New Roman" w:eastAsia="方正楷体_GBK" w:cs="仿宋"/>
          <w:spacing w:val="3"/>
          <w:kern w:val="2"/>
        </w:rPr>
        <w:t>持续提振消费需求</w:t>
      </w:r>
      <w:r>
        <w:rPr>
          <w:rFonts w:hint="eastAsia" w:ascii="Times New Roman"/>
          <w:spacing w:val="3"/>
          <w:kern w:val="2"/>
        </w:rPr>
        <w:t>。</w:t>
      </w:r>
      <w:r>
        <w:rPr>
          <w:rFonts w:ascii="Times New Roman"/>
          <w:spacing w:val="3"/>
          <w:kern w:val="2"/>
        </w:rPr>
        <w:t>围绕重要节庆点，开展系列促消费活动，</w:t>
      </w:r>
      <w:r>
        <w:rPr>
          <w:rFonts w:hint="eastAsia" w:ascii="Times New Roman"/>
          <w:spacing w:val="3"/>
          <w:kern w:val="2"/>
        </w:rPr>
        <w:t>推动</w:t>
      </w:r>
      <w:r>
        <w:rPr>
          <w:rFonts w:ascii="Times New Roman"/>
          <w:spacing w:val="3"/>
          <w:kern w:val="2"/>
        </w:rPr>
        <w:t>汽车、家电、餐饮</w:t>
      </w:r>
      <w:r>
        <w:rPr>
          <w:rFonts w:hint="eastAsia" w:ascii="Times New Roman"/>
          <w:spacing w:val="3"/>
          <w:kern w:val="2"/>
        </w:rPr>
        <w:t>等消费回暖</w:t>
      </w:r>
      <w:r>
        <w:rPr>
          <w:rFonts w:ascii="Times New Roman"/>
          <w:spacing w:val="3"/>
          <w:kern w:val="2"/>
        </w:rPr>
        <w:t>；加大对首店品牌、网红品牌的招引力度，</w:t>
      </w:r>
      <w:r>
        <w:rPr>
          <w:rFonts w:hint="eastAsia" w:ascii="Times New Roman"/>
          <w:spacing w:val="3"/>
          <w:kern w:val="2"/>
        </w:rPr>
        <w:t>加快</w:t>
      </w:r>
      <w:r>
        <w:rPr>
          <w:rFonts w:ascii="Times New Roman"/>
          <w:spacing w:val="3"/>
          <w:kern w:val="2"/>
        </w:rPr>
        <w:t>国乐岛、凤凰荟</w:t>
      </w:r>
      <w:r>
        <w:rPr>
          <w:rFonts w:hint="eastAsia" w:ascii="Times New Roman"/>
          <w:spacing w:val="3"/>
          <w:kern w:val="2"/>
        </w:rPr>
        <w:t>等项目建设</w:t>
      </w:r>
      <w:r>
        <w:rPr>
          <w:rFonts w:ascii="Times New Roman"/>
          <w:spacing w:val="3"/>
          <w:kern w:val="2"/>
        </w:rPr>
        <w:t>，</w:t>
      </w:r>
      <w:r>
        <w:rPr>
          <w:rFonts w:hint="eastAsia" w:ascii="Times New Roman"/>
          <w:spacing w:val="3"/>
          <w:kern w:val="2"/>
        </w:rPr>
        <w:t>打造优质消费场景</w:t>
      </w:r>
      <w:r>
        <w:rPr>
          <w:rFonts w:ascii="Times New Roman"/>
          <w:spacing w:val="3"/>
          <w:kern w:val="2"/>
        </w:rPr>
        <w:t>；利用船厂公园、体育中心等新场景，活跃文商旅融合消费氛围，</w:t>
      </w:r>
      <w:r>
        <w:rPr>
          <w:rFonts w:hint="eastAsia" w:ascii="Times New Roman"/>
          <w:spacing w:val="3"/>
          <w:kern w:val="2"/>
        </w:rPr>
        <w:t>推动海澜飞马水城创建国家级夜间文旅消费集聚区，</w:t>
      </w:r>
      <w:r>
        <w:rPr>
          <w:rFonts w:ascii="Times New Roman"/>
          <w:spacing w:val="3"/>
          <w:kern w:val="2"/>
        </w:rPr>
        <w:t>打造</w:t>
      </w:r>
      <w:r>
        <w:rPr>
          <w:rFonts w:hint="eastAsia" w:ascii="Times New Roman"/>
          <w:spacing w:val="3"/>
          <w:kern w:val="2"/>
        </w:rPr>
        <w:t>多元化的</w:t>
      </w:r>
      <w:r>
        <w:rPr>
          <w:rFonts w:ascii="Times New Roman"/>
          <w:spacing w:val="3"/>
          <w:kern w:val="2"/>
        </w:rPr>
        <w:t>城市消费新业态。</w:t>
      </w:r>
    </w:p>
    <w:p>
      <w:pPr>
        <w:ind w:firstLine="604" w:firstLineChars="200"/>
        <w:rPr>
          <w:rFonts w:ascii="Times New Roman" w:eastAsia="方正楷体_GBK" w:cs="仿宋"/>
          <w:b/>
          <w:kern w:val="2"/>
        </w:rPr>
      </w:pPr>
      <w:r>
        <w:rPr>
          <w:rFonts w:hint="eastAsia" w:ascii="Times New Roman" w:eastAsia="方正楷体_GBK" w:cs="仿宋"/>
          <w:b/>
          <w:kern w:val="2"/>
        </w:rPr>
        <w:t>（二）强化科技创新支撑，培育引领发展动能。</w:t>
      </w:r>
      <w:r>
        <w:rPr>
          <w:rFonts w:hint="eastAsia" w:ascii="Times New Roman" w:eastAsia="方正楷体_GBK" w:cs="仿宋"/>
          <w:kern w:val="2"/>
        </w:rPr>
        <w:t>提升自主创新能力。</w:t>
      </w:r>
      <w:r>
        <w:rPr>
          <w:rFonts w:hint="eastAsia" w:ascii="Times New Roman" w:cs="宋体"/>
          <w:kern w:val="2"/>
        </w:rPr>
        <w:t>聚焦“</w:t>
      </w:r>
      <w:r>
        <w:rPr>
          <w:rFonts w:ascii="Times New Roman" w:cs="宋体"/>
          <w:kern w:val="2"/>
        </w:rPr>
        <w:t>一湾一谷一区一港</w:t>
      </w:r>
      <w:r>
        <w:rPr>
          <w:rFonts w:hint="eastAsia" w:ascii="Times New Roman" w:cs="宋体"/>
          <w:kern w:val="2"/>
        </w:rPr>
        <w:t>”建设，</w:t>
      </w:r>
      <w:r>
        <w:rPr>
          <w:rFonts w:hint="eastAsia" w:ascii="Times New Roman"/>
          <w:kern w:val="2"/>
        </w:rPr>
        <w:t>加快高新区深业科技产业园、长三角（江阴）数字创新港三期、旌阳湖科创园等重大载体建设。加大科技招商力度，推动更多优质项目入驻。推动清华大学精密光电研发中心等平台落地运行，提升长三角太阳能光伏技术创新中心、集成电路设计创新中心等现有新型研发机构发展质效，新增省级以上科创平台15个。</w:t>
      </w:r>
      <w:r>
        <w:rPr>
          <w:rFonts w:hint="eastAsia" w:ascii="Times New Roman" w:eastAsia="方正楷体_GBK" w:cs="仿宋"/>
          <w:kern w:val="2"/>
        </w:rPr>
        <w:t>强化科技创新合作。</w:t>
      </w:r>
      <w:r>
        <w:rPr>
          <w:rFonts w:hint="eastAsia" w:ascii="Times New Roman" w:cs="宋体"/>
          <w:kern w:val="2"/>
        </w:rPr>
        <w:t>深入实施产学研“双百”行动计划。鼓励高校企业、创新平台联合参与、承担国家、省级重大项目计划，开展产学研活动12场、达成合作项目100项，完成技术合同成交额100亿元。</w:t>
      </w:r>
      <w:r>
        <w:rPr>
          <w:rFonts w:hint="eastAsia" w:ascii="Times New Roman"/>
          <w:kern w:val="2"/>
        </w:rPr>
        <w:t>推动本土企业主导或参与制（修）订国际、国家、行业标准80项</w:t>
      </w:r>
      <w:r>
        <w:rPr>
          <w:rFonts w:ascii="Times New Roman" w:cs="宋体"/>
          <w:kern w:val="2"/>
        </w:rPr>
        <w:t>。</w:t>
      </w:r>
      <w:r>
        <w:rPr>
          <w:rFonts w:hint="eastAsia" w:ascii="Times New Roman" w:eastAsia="方正楷体_GBK" w:cs="仿宋"/>
          <w:kern w:val="2"/>
        </w:rPr>
        <w:t>加快创新主体培育。</w:t>
      </w:r>
      <w:r>
        <w:rPr>
          <w:rFonts w:hint="eastAsia" w:ascii="Times New Roman" w:cs="宋体"/>
          <w:kern w:val="2"/>
        </w:rPr>
        <w:t>优化高企奖励政策，深化创新型企业梯次培育、靶向扶持机制。申报高新技术企业超500家，</w:t>
      </w:r>
      <w:r>
        <w:rPr>
          <w:rFonts w:hint="eastAsia" w:ascii="Times New Roman"/>
          <w:kern w:val="2"/>
        </w:rPr>
        <w:t>入库国家科技型中小企业超2300家，新增无锡市雏鹰、瞪羚、准独角兽入库企业280家。</w:t>
      </w:r>
      <w:r>
        <w:rPr>
          <w:rFonts w:hint="eastAsia" w:ascii="Times New Roman" w:eastAsia="方正楷体_GBK" w:cs="仿宋"/>
          <w:kern w:val="2"/>
        </w:rPr>
        <w:t>突出人才引领发展</w:t>
      </w:r>
      <w:r>
        <w:rPr>
          <w:rFonts w:hint="eastAsia" w:ascii="Times New Roman" w:cs="宋体"/>
          <w:kern w:val="2"/>
        </w:rPr>
        <w:t>。</w:t>
      </w:r>
      <w:r>
        <w:rPr>
          <w:rFonts w:hint="eastAsia" w:ascii="Times New Roman"/>
          <w:kern w:val="2"/>
        </w:rPr>
        <w:t>优化升级“暨阳英才”政策，</w:t>
      </w:r>
      <w:r>
        <w:rPr>
          <w:rFonts w:hint="eastAsia" w:ascii="Times New Roman" w:cs="方正仿宋_GBK"/>
          <w:kern w:val="2"/>
        </w:rPr>
        <w:t>新增高层次人才1300人、</w:t>
      </w:r>
      <w:r>
        <w:rPr>
          <w:rFonts w:hint="eastAsia" w:ascii="Times New Roman"/>
          <w:kern w:val="2"/>
        </w:rPr>
        <w:t>技能人才1.5万人、</w:t>
      </w:r>
      <w:r>
        <w:rPr>
          <w:rFonts w:ascii="Times New Roman" w:cs="方正仿宋_GBK"/>
          <w:kern w:val="2"/>
        </w:rPr>
        <w:t>高技能人才</w:t>
      </w:r>
      <w:r>
        <w:rPr>
          <w:rFonts w:hint="eastAsia" w:ascii="Times New Roman" w:cs="方正仿宋_GBK"/>
          <w:kern w:val="2"/>
        </w:rPr>
        <w:t>6000</w:t>
      </w:r>
      <w:r>
        <w:rPr>
          <w:rFonts w:ascii="Times New Roman" w:cs="方正仿宋_GBK"/>
          <w:kern w:val="2"/>
        </w:rPr>
        <w:t>人</w:t>
      </w:r>
      <w:r>
        <w:rPr>
          <w:rFonts w:hint="eastAsia" w:ascii="Times New Roman" w:cs="方正仿宋_GBK"/>
          <w:kern w:val="2"/>
        </w:rPr>
        <w:t>。</w:t>
      </w:r>
      <w:r>
        <w:rPr>
          <w:rFonts w:hint="eastAsia" w:ascii="Times New Roman" w:eastAsia="方正楷体_GBK" w:cs="仿宋"/>
          <w:kern w:val="2"/>
        </w:rPr>
        <w:t>构建创新生态体系。</w:t>
      </w:r>
      <w:r>
        <w:rPr>
          <w:rFonts w:hint="eastAsia" w:ascii="Times New Roman"/>
          <w:kern w:val="2"/>
        </w:rPr>
        <w:t>强化科技金融支撑，建立健全覆盖知识产权质押及证券化、融资租赁等方式的多元化金融供给体系，全年发放科技贷款突破6亿元</w:t>
      </w:r>
      <w:r>
        <w:rPr>
          <w:rFonts w:hint="eastAsia" w:ascii="Times New Roman" w:cs="宋体"/>
          <w:kern w:val="2"/>
        </w:rPr>
        <w:t>。</w:t>
      </w:r>
      <w:r>
        <w:rPr>
          <w:rFonts w:hint="eastAsia" w:ascii="Times New Roman" w:cs="方正仿宋_GBK"/>
          <w:kern w:val="2"/>
          <w:lang w:bidi="zh-CN"/>
        </w:rPr>
        <w:t>持续打响“霞客杯”“科技节”等科创品牌，营造“科创江阴”浓厚氛围。</w:t>
      </w:r>
    </w:p>
    <w:p>
      <w:pPr>
        <w:ind w:firstLine="604" w:firstLineChars="200"/>
        <w:rPr>
          <w:rFonts w:ascii="Times New Roman" w:cs="方正仿宋_GBK"/>
          <w:kern w:val="2"/>
        </w:rPr>
      </w:pPr>
      <w:r>
        <w:rPr>
          <w:rFonts w:hint="eastAsia" w:ascii="Times New Roman" w:eastAsia="方正楷体_GBK" w:cs="仿宋"/>
          <w:b/>
          <w:kern w:val="2"/>
        </w:rPr>
        <w:t>（三）深化重点领域改革，提升对外开放水平。</w:t>
      </w:r>
      <w:r>
        <w:rPr>
          <w:rFonts w:hint="eastAsia" w:ascii="Times New Roman" w:eastAsia="方正楷体_GBK" w:cs="仿宋"/>
          <w:kern w:val="2"/>
        </w:rPr>
        <w:t>加快功能区建设改革</w:t>
      </w:r>
      <w:r>
        <w:rPr>
          <w:rFonts w:hint="eastAsia" w:ascii="Times New Roman" w:cs="方正仿宋_GBK"/>
          <w:kern w:val="2"/>
        </w:rPr>
        <w:t>。围绕“1+4+N”功能区建设方案路径，全面推进高新区、临港经济开发区、霞客湾科学城、澄东南智造区等功能区建设，优化完善体制机制，推动国资、规划、招商、产业等工作统筹，提升发展能级</w:t>
      </w:r>
      <w:r>
        <w:rPr>
          <w:rFonts w:hint="eastAsia" w:ascii="Times New Roman" w:cs="方正仿宋_GBK"/>
          <w:kern w:val="2"/>
          <w:lang w:bidi="zh-CN"/>
        </w:rPr>
        <w:t>。</w:t>
      </w:r>
      <w:r>
        <w:rPr>
          <w:rFonts w:ascii="Times New Roman" w:eastAsia="方正楷体_GBK"/>
          <w:kern w:val="2"/>
        </w:rPr>
        <w:t>深入实施</w:t>
      </w:r>
      <w:r>
        <w:rPr>
          <w:rFonts w:hint="eastAsia" w:ascii="Times New Roman" w:eastAsia="方正楷体_GBK"/>
          <w:kern w:val="2"/>
        </w:rPr>
        <w:t>“南征北战、东西互搏”。</w:t>
      </w:r>
      <w:r>
        <w:rPr>
          <w:rFonts w:hint="eastAsia" w:ascii="Times New Roman" w:cs="方正仿宋_GBK"/>
          <w:kern w:val="2"/>
        </w:rPr>
        <w:t>江南大学（江阴校区）竣工交付并顺利开学，全面推进科教孵化中心、园博园建设。</w:t>
      </w:r>
      <w:r>
        <w:rPr>
          <w:rFonts w:hint="eastAsia" w:ascii="Times New Roman"/>
          <w:kern w:val="2"/>
        </w:rPr>
        <w:t>释放江阴港粮食、药品、进境肉类口岸功能优势，全力推进3个20万吨级码头提档升级，江阴港完成货物吞吐量3.8亿吨、集装箱运量85万标箱。加强与上海港、宁波港合作，新增航线1—2条</w:t>
      </w:r>
      <w:r>
        <w:rPr>
          <w:rFonts w:hint="eastAsia" w:ascii="Times New Roman" w:cs="方正仿宋_GBK"/>
          <w:kern w:val="2"/>
        </w:rPr>
        <w:t>。加快工业园区升级改造，全年腾出可用产业用地2000亩、</w:t>
      </w:r>
      <w:r>
        <w:rPr>
          <w:rFonts w:hint="eastAsia" w:ascii="Times New Roman"/>
          <w:kern w:val="2"/>
        </w:rPr>
        <w:t>盘活存量用地800亩、整治低效用地4000亩。</w:t>
      </w:r>
      <w:r>
        <w:rPr>
          <w:rFonts w:ascii="Times New Roman" w:eastAsia="方正楷体_GBK" w:cs="仿宋"/>
          <w:kern w:val="2"/>
        </w:rPr>
        <w:t>深层次融入</w:t>
      </w:r>
      <w:r>
        <w:rPr>
          <w:rFonts w:hint="eastAsia" w:ascii="Times New Roman" w:eastAsia="方正楷体_GBK" w:cs="仿宋"/>
          <w:kern w:val="2"/>
        </w:rPr>
        <w:t>区域发展</w:t>
      </w:r>
      <w:r>
        <w:rPr>
          <w:rFonts w:ascii="Times New Roman" w:eastAsia="方正楷体_GBK" w:cs="仿宋"/>
          <w:kern w:val="2"/>
        </w:rPr>
        <w:t>。</w:t>
      </w:r>
      <w:r>
        <w:rPr>
          <w:rFonts w:hint="eastAsia" w:ascii="Times New Roman"/>
          <w:kern w:val="2"/>
        </w:rPr>
        <w:t>深化“南拓、北优、东进、西联”区域联动发展策略，深度融入长三角一体化发展，积极服务上海大都市圈、苏锡常都市圈、长三角—粤港澳（无锡）科创产业融合发展区建设。</w:t>
      </w:r>
      <w:r>
        <w:rPr>
          <w:rFonts w:hint="eastAsia" w:ascii="Times New Roman" w:eastAsia="方正楷体_GBK" w:cs="仿宋"/>
          <w:kern w:val="2"/>
        </w:rPr>
        <w:t>稳步提升改革能效。</w:t>
      </w:r>
      <w:r>
        <w:rPr>
          <w:rFonts w:hint="eastAsia" w:ascii="Times New Roman" w:cs="方正仿宋_GBK"/>
          <w:kern w:val="2"/>
        </w:rPr>
        <w:t>以省民营经济高质量发展示范县（市、区）创建为契机，构建完善“1+1+5”支持民营经济发展壮大政策体系，深化“三提三即”、“一网通办”等改革，民营企业数量突破10万家。</w:t>
      </w:r>
      <w:r>
        <w:rPr>
          <w:rFonts w:hint="eastAsia" w:ascii="Times New Roman" w:eastAsia="方正楷体_GBK" w:cs="仿宋"/>
          <w:bCs/>
          <w:kern w:val="2"/>
        </w:rPr>
        <w:t>对外合作扩容提质。</w:t>
      </w:r>
      <w:r>
        <w:rPr>
          <w:rFonts w:ascii="Times New Roman"/>
          <w:kern w:val="2"/>
        </w:rPr>
        <w:t>加强对长电微电子等4个省级</w:t>
      </w:r>
      <w:r>
        <w:rPr>
          <w:rFonts w:hint="eastAsia" w:ascii="Times New Roman"/>
          <w:kern w:val="2"/>
        </w:rPr>
        <w:t>以上</w:t>
      </w:r>
      <w:r>
        <w:rPr>
          <w:rFonts w:ascii="Times New Roman"/>
          <w:kern w:val="2"/>
        </w:rPr>
        <w:t>重大外资项目跟踪服务，</w:t>
      </w:r>
      <w:r>
        <w:rPr>
          <w:rFonts w:hint="eastAsia" w:ascii="Times New Roman"/>
          <w:kern w:val="2"/>
        </w:rPr>
        <w:t>推动安姆科“三总部三基地”等一批外资总部项目落地投产。用好中央和省级对外投资和经济合作资金政策，助推贝德、红柳、海澜之家等企业“走出去”扩大全球化布局。</w:t>
      </w:r>
    </w:p>
    <w:p>
      <w:pPr>
        <w:ind w:firstLine="604" w:firstLineChars="200"/>
        <w:rPr>
          <w:rFonts w:ascii="Times New Roman" w:eastAsia="方正楷体_GBK" w:cs="仿宋"/>
          <w:kern w:val="2"/>
        </w:rPr>
      </w:pPr>
      <w:r>
        <w:rPr>
          <w:rFonts w:hint="eastAsia" w:ascii="Times New Roman" w:eastAsia="方正楷体_GBK" w:cs="仿宋"/>
          <w:b/>
          <w:kern w:val="2"/>
        </w:rPr>
        <w:t>（四）提升城市品质，推动城乡融合发展。</w:t>
      </w:r>
      <w:r>
        <w:rPr>
          <w:rFonts w:hint="eastAsia" w:ascii="Times New Roman" w:eastAsia="方正楷体_GBK" w:cs="仿宋"/>
          <w:kern w:val="2"/>
        </w:rPr>
        <w:t>完善交通路网建设。</w:t>
      </w:r>
      <w:r>
        <w:rPr>
          <w:rFonts w:hint="eastAsia" w:ascii="Times New Roman" w:cs="方正仿宋_GBK"/>
          <w:kern w:val="2"/>
        </w:rPr>
        <w:t>轨道交通S1线春节前开通试运营，滨江路</w:t>
      </w:r>
      <w:r>
        <w:rPr>
          <w:rFonts w:ascii="Times New Roman"/>
          <w:kern w:val="2"/>
        </w:rPr>
        <w:t>（城区段）</w:t>
      </w:r>
      <w:r>
        <w:rPr>
          <w:rFonts w:hint="eastAsia" w:ascii="Times New Roman"/>
          <w:kern w:val="2"/>
        </w:rPr>
        <w:t>快速化改造工程建成通车，</w:t>
      </w:r>
      <w:r>
        <w:rPr>
          <w:rFonts w:hint="eastAsia" w:ascii="Times New Roman" w:cs="方正仿宋_GBK"/>
          <w:kern w:val="2"/>
        </w:rPr>
        <w:t>江阴靖江长江隧道及南接线、沪武高速扩建、锡澄路一期等项目稳步推进，</w:t>
      </w:r>
      <w:r>
        <w:rPr>
          <w:rFonts w:hint="eastAsia" w:ascii="Times New Roman"/>
          <w:kern w:val="2"/>
        </w:rPr>
        <w:t>开展长山大道二期、滨江路二期项目前期准备工作</w:t>
      </w:r>
      <w:r>
        <w:rPr>
          <w:rFonts w:hint="eastAsia" w:ascii="Times New Roman" w:cs="方正仿宋_GBK"/>
          <w:kern w:val="2"/>
        </w:rPr>
        <w:t>。</w:t>
      </w:r>
      <w:r>
        <w:rPr>
          <w:rFonts w:hint="eastAsia" w:ascii="Times New Roman" w:eastAsia="方正楷体_GBK" w:cs="仿宋"/>
          <w:kern w:val="2"/>
        </w:rPr>
        <w:t>深化城市更新行动。</w:t>
      </w:r>
      <w:r>
        <w:rPr>
          <w:rFonts w:hint="eastAsia" w:ascii="Times New Roman" w:cs="方正仿宋_GBK"/>
          <w:kern w:val="2"/>
        </w:rPr>
        <w:t>加快各镇街、开发区土地成片开发方案的编制。</w:t>
      </w:r>
      <w:r>
        <w:rPr>
          <w:rFonts w:ascii="Times New Roman"/>
          <w:kern w:val="2"/>
        </w:rPr>
        <w:t>推进</w:t>
      </w:r>
      <w:r>
        <w:rPr>
          <w:rFonts w:hint="eastAsia" w:ascii="Times New Roman"/>
          <w:kern w:val="2"/>
        </w:rPr>
        <w:t>主城区</w:t>
      </w:r>
      <w:r>
        <w:rPr>
          <w:rFonts w:ascii="Times New Roman"/>
          <w:kern w:val="2"/>
        </w:rPr>
        <w:t>老旧小区、核心商圈等品质提升。开展老旧小区改造</w:t>
      </w:r>
      <w:r>
        <w:rPr>
          <w:rFonts w:hint="eastAsia" w:ascii="Times New Roman"/>
          <w:kern w:val="2"/>
        </w:rPr>
        <w:t>8</w:t>
      </w:r>
      <w:r>
        <w:rPr>
          <w:rFonts w:ascii="Times New Roman"/>
          <w:kern w:val="2"/>
        </w:rPr>
        <w:t>个</w:t>
      </w:r>
      <w:r>
        <w:rPr>
          <w:rFonts w:hint="eastAsia" w:ascii="Times New Roman"/>
          <w:kern w:val="2"/>
        </w:rPr>
        <w:t>，</w:t>
      </w:r>
      <w:r>
        <w:rPr>
          <w:rFonts w:ascii="Times New Roman"/>
          <w:kern w:val="2"/>
        </w:rPr>
        <w:t>完成拆迁</w:t>
      </w:r>
      <w:r>
        <w:rPr>
          <w:rFonts w:hint="eastAsia" w:ascii="Times New Roman"/>
          <w:kern w:val="2"/>
        </w:rPr>
        <w:t>180</w:t>
      </w:r>
      <w:r>
        <w:rPr>
          <w:rFonts w:ascii="Times New Roman"/>
          <w:kern w:val="2"/>
        </w:rPr>
        <w:t>万平方米，启动建设安置房</w:t>
      </w:r>
      <w:r>
        <w:rPr>
          <w:rFonts w:hint="eastAsia" w:ascii="Times New Roman"/>
          <w:kern w:val="2"/>
        </w:rPr>
        <w:t>90</w:t>
      </w:r>
      <w:r>
        <w:rPr>
          <w:rFonts w:ascii="Times New Roman"/>
          <w:kern w:val="2"/>
        </w:rPr>
        <w:t>万平方米、建成</w:t>
      </w:r>
      <w:r>
        <w:rPr>
          <w:rFonts w:hint="eastAsia" w:ascii="Times New Roman"/>
          <w:kern w:val="2"/>
        </w:rPr>
        <w:t>60</w:t>
      </w:r>
      <w:r>
        <w:rPr>
          <w:rFonts w:ascii="Times New Roman"/>
          <w:kern w:val="2"/>
        </w:rPr>
        <w:t>万平方米。推进青山未来社区建设，启动市工人文化宫、西横河景观提升、青山遗址公园等项目建设。</w:t>
      </w:r>
      <w:r>
        <w:rPr>
          <w:rFonts w:hint="eastAsia" w:ascii="Times New Roman"/>
          <w:kern w:val="2"/>
        </w:rPr>
        <w:t>锡澄运河公园四期、科技馆、美术馆等项目年内建成投用</w:t>
      </w:r>
      <w:r>
        <w:rPr>
          <w:rFonts w:hint="eastAsia" w:ascii="Times New Roman" w:cs="方正仿宋_GBK"/>
          <w:kern w:val="2"/>
        </w:rPr>
        <w:t>，新建“江小澄”口袋公园5个。</w:t>
      </w:r>
      <w:r>
        <w:rPr>
          <w:rFonts w:hint="eastAsia" w:ascii="Times New Roman" w:eastAsia="方正楷体_GBK" w:cs="仿宋"/>
          <w:kern w:val="2"/>
        </w:rPr>
        <w:t>升级城市精细管理</w:t>
      </w:r>
      <w:r>
        <w:rPr>
          <w:rFonts w:hint="eastAsia" w:ascii="Times New Roman" w:cs="方正仿宋_GBK"/>
          <w:kern w:val="2"/>
        </w:rPr>
        <w:t>。推进重点区域内老旧小区、核心商圈等品质提升工程，</w:t>
      </w:r>
      <w:r>
        <w:rPr>
          <w:rFonts w:ascii="Times New Roman"/>
          <w:kern w:val="2"/>
        </w:rPr>
        <w:t>整治提升背街小巷2</w:t>
      </w:r>
      <w:r>
        <w:rPr>
          <w:rFonts w:hint="eastAsia" w:ascii="Times New Roman"/>
          <w:kern w:val="2"/>
        </w:rPr>
        <w:t>0</w:t>
      </w:r>
      <w:r>
        <w:rPr>
          <w:rFonts w:ascii="Times New Roman"/>
          <w:kern w:val="2"/>
        </w:rPr>
        <w:t>条</w:t>
      </w:r>
      <w:r>
        <w:rPr>
          <w:rFonts w:hint="eastAsia" w:ascii="Times New Roman" w:cs="方正仿宋_GBK"/>
          <w:kern w:val="2"/>
        </w:rPr>
        <w:t>。开展主城区停车秩序、门店秩序、户外广告专项整治，</w:t>
      </w:r>
      <w:r>
        <w:rPr>
          <w:rFonts w:ascii="Times New Roman" w:cs="方正仿宋_GBK"/>
          <w:kern w:val="2"/>
        </w:rPr>
        <w:t>新增</w:t>
      </w:r>
      <w:r>
        <w:rPr>
          <w:rFonts w:hint="eastAsia" w:ascii="Times New Roman" w:cs="方正仿宋_GBK"/>
          <w:kern w:val="2"/>
        </w:rPr>
        <w:t>城区</w:t>
      </w:r>
      <w:r>
        <w:rPr>
          <w:rFonts w:ascii="Times New Roman" w:cs="方正仿宋_GBK"/>
          <w:kern w:val="2"/>
        </w:rPr>
        <w:t>停车泊位</w:t>
      </w:r>
      <w:r>
        <w:rPr>
          <w:rFonts w:hint="eastAsia" w:ascii="Times New Roman" w:cs="方正仿宋_GBK"/>
          <w:kern w:val="2"/>
        </w:rPr>
        <w:t>3000</w:t>
      </w:r>
      <w:r>
        <w:rPr>
          <w:rFonts w:ascii="Times New Roman" w:cs="方正仿宋_GBK"/>
          <w:kern w:val="2"/>
        </w:rPr>
        <w:t>个</w:t>
      </w:r>
      <w:r>
        <w:rPr>
          <w:rFonts w:hint="eastAsia" w:ascii="Times New Roman" w:cs="方正仿宋_GBK"/>
          <w:kern w:val="2"/>
        </w:rPr>
        <w:t>以上，</w:t>
      </w:r>
      <w:r>
        <w:rPr>
          <w:rFonts w:ascii="Times New Roman" w:cs="方正仿宋_GBK"/>
          <w:kern w:val="2"/>
        </w:rPr>
        <w:t>拆除违建</w:t>
      </w:r>
      <w:r>
        <w:rPr>
          <w:rFonts w:hint="eastAsia" w:ascii="Times New Roman" w:cs="方正仿宋_GBK"/>
          <w:kern w:val="2"/>
        </w:rPr>
        <w:t>150</w:t>
      </w:r>
      <w:r>
        <w:rPr>
          <w:rFonts w:ascii="Times New Roman" w:cs="方正仿宋_GBK"/>
          <w:kern w:val="2"/>
        </w:rPr>
        <w:t>万平方米</w:t>
      </w:r>
      <w:r>
        <w:rPr>
          <w:rFonts w:ascii="Times New Roman"/>
          <w:kern w:val="2"/>
        </w:rPr>
        <w:t>、违法广告设施1万平方米。</w:t>
      </w:r>
      <w:r>
        <w:rPr>
          <w:rFonts w:hint="eastAsia" w:ascii="Times New Roman" w:eastAsia="方正楷体_GBK" w:cs="仿宋"/>
          <w:kern w:val="2"/>
        </w:rPr>
        <w:t>加快美丽乡村建设。</w:t>
      </w:r>
      <w:r>
        <w:rPr>
          <w:rFonts w:hint="eastAsia" w:ascii="Times New Roman"/>
          <w:kern w:val="2"/>
        </w:rPr>
        <w:t>以农村厕所、生活污水、垃圾清理“三大革命”为重点，纵深推进农村人居环境整治提升，争创省宜居宜业和美乡村。</w:t>
      </w:r>
      <w:r>
        <w:rPr>
          <w:rFonts w:hint="eastAsia" w:ascii="Times New Roman" w:cs="仿宋"/>
          <w:kern w:val="2"/>
        </w:rPr>
        <w:t>启动新一轮50个村现代“美丽农居”建设，建成1—2个美丽农居先行示范点。</w:t>
      </w:r>
      <w:r>
        <w:rPr>
          <w:rFonts w:hint="eastAsia" w:ascii="Times New Roman"/>
          <w:kern w:val="2"/>
        </w:rPr>
        <w:t>严格落实耕地保护政策，开展耕地整治恢复、高标准农田建设，推进耕地和永久基本农田布局优化。</w:t>
      </w:r>
    </w:p>
    <w:p>
      <w:pPr>
        <w:ind w:firstLine="604" w:firstLineChars="200"/>
        <w:rPr>
          <w:rFonts w:ascii="Times New Roman" w:eastAsia="方正楷体_GBK" w:cs="仿宋"/>
          <w:b/>
          <w:kern w:val="2"/>
        </w:rPr>
      </w:pPr>
      <w:r>
        <w:rPr>
          <w:rFonts w:hint="eastAsia" w:ascii="Times New Roman" w:eastAsia="方正楷体_GBK" w:cs="仿宋"/>
          <w:b/>
          <w:kern w:val="2"/>
        </w:rPr>
        <w:t>（五）坚持绿色低碳，加快建设美丽江阴。</w:t>
      </w:r>
      <w:r>
        <w:rPr>
          <w:rFonts w:hint="eastAsia" w:ascii="Times New Roman" w:eastAsia="方正楷体_GBK" w:cs="仿宋"/>
          <w:kern w:val="2"/>
        </w:rPr>
        <w:t>打造优质生态环境。</w:t>
      </w:r>
      <w:r>
        <w:rPr>
          <w:rFonts w:hint="eastAsia" w:ascii="Times New Roman"/>
          <w:kern w:val="2"/>
        </w:rPr>
        <w:t>深化生态环境治理现代化县域示范建设。</w:t>
      </w:r>
      <w:r>
        <w:rPr>
          <w:rFonts w:hint="eastAsia" w:ascii="Times New Roman" w:cs="方正仿宋_GBK"/>
          <w:kern w:val="2"/>
        </w:rPr>
        <w:t>聚焦PM</w:t>
      </w:r>
      <w:r>
        <w:rPr>
          <w:rFonts w:hint="eastAsia" w:ascii="Times New Roman" w:cs="方正仿宋_GBK"/>
          <w:kern w:val="2"/>
          <w:vertAlign w:val="subscript"/>
        </w:rPr>
        <w:t>2.5</w:t>
      </w:r>
      <w:r>
        <w:rPr>
          <w:rFonts w:hint="eastAsia" w:ascii="Times New Roman" w:cs="方正仿宋_GBK"/>
          <w:kern w:val="2"/>
        </w:rPr>
        <w:t>和臭氧双控双减，持续推动源头治理、工程治理，开展重点行业、工地码头道路扬尘、城市面源治理。推进新一轮太湖综合治理，深化排污口整治成效。加快提升污水收集处理效能，加强汛期监管与水质保障，国省考断面持续稳定保持优</w:t>
      </w:r>
      <w:r>
        <w:rPr>
          <w:rFonts w:hint="eastAsia" w:ascii="Times New Roman"/>
          <w:kern w:val="2"/>
        </w:rPr>
        <w:t>Ⅲ</w:t>
      </w:r>
      <w:r>
        <w:rPr>
          <w:rFonts w:hint="eastAsia" w:ascii="Times New Roman" w:cs="方正仿宋_GBK"/>
          <w:kern w:val="2"/>
        </w:rPr>
        <w:t>。</w:t>
      </w:r>
      <w:r>
        <w:rPr>
          <w:rFonts w:hint="eastAsia" w:ascii="Times New Roman"/>
          <w:kern w:val="2"/>
        </w:rPr>
        <w:t>创成秦望山产业园国家资源循环利用基地</w:t>
      </w:r>
      <w:r>
        <w:rPr>
          <w:rFonts w:hint="eastAsia" w:ascii="Times New Roman" w:cs="方正仿宋_GBK"/>
          <w:kern w:val="2"/>
        </w:rPr>
        <w:t>，推动固危废减量化、资源化、无害化。</w:t>
      </w:r>
      <w:r>
        <w:rPr>
          <w:rFonts w:hint="eastAsia" w:ascii="Times New Roman" w:eastAsia="方正楷体_GBK" w:cs="仿宋"/>
          <w:kern w:val="2"/>
        </w:rPr>
        <w:t>推进生态保护修复。</w:t>
      </w:r>
      <w:r>
        <w:rPr>
          <w:rFonts w:hint="eastAsia" w:ascii="Times New Roman" w:cs="方正仿宋_GBK"/>
          <w:kern w:val="2"/>
        </w:rPr>
        <w:t>巩固夯实国家生态文明建设示范区成果，加快建成长江国家文化公园建设示范区。</w:t>
      </w:r>
      <w:r>
        <w:rPr>
          <w:rFonts w:hint="eastAsia" w:ascii="Times New Roman"/>
          <w:kern w:val="2"/>
        </w:rPr>
        <w:t>做好国家森林城市创建，科学开展绿化造林、湿地建设和生物多样性保护工作，</w:t>
      </w:r>
      <w:r>
        <w:rPr>
          <w:rFonts w:ascii="Times New Roman"/>
          <w:kern w:val="2"/>
        </w:rPr>
        <w:t>林木覆盖率</w:t>
      </w:r>
      <w:r>
        <w:rPr>
          <w:rFonts w:hint="eastAsia" w:ascii="Times New Roman"/>
          <w:kern w:val="2"/>
        </w:rPr>
        <w:t>稳中有升</w:t>
      </w:r>
      <w:r>
        <w:rPr>
          <w:rFonts w:ascii="Times New Roman"/>
          <w:kern w:val="2"/>
        </w:rPr>
        <w:t>。</w:t>
      </w:r>
      <w:r>
        <w:rPr>
          <w:rFonts w:hint="eastAsia" w:ascii="Times New Roman" w:eastAsia="方正楷体_GBK" w:cs="仿宋"/>
          <w:kern w:val="2"/>
        </w:rPr>
        <w:t>深入践行绿色发展。</w:t>
      </w:r>
      <w:r>
        <w:rPr>
          <w:rFonts w:hint="eastAsia" w:ascii="Times New Roman"/>
          <w:kern w:val="2"/>
        </w:rPr>
        <w:t>全面</w:t>
      </w:r>
      <w:r>
        <w:rPr>
          <w:rFonts w:ascii="Times New Roman"/>
          <w:kern w:val="2"/>
        </w:rPr>
        <w:t>推进碳达峰、碳中和，</w:t>
      </w:r>
      <w:r>
        <w:rPr>
          <w:rFonts w:hint="eastAsia" w:ascii="Times New Roman"/>
          <w:kern w:val="2"/>
        </w:rPr>
        <w:t>开展重点行业节能降碳，新增省级以上绿色工厂5家，实施重点节能与循环经济项目15项以上，全年实现节能量5万吨标煤。</w:t>
      </w:r>
    </w:p>
    <w:p>
      <w:pPr>
        <w:ind w:firstLine="604" w:firstLineChars="200"/>
        <w:rPr>
          <w:rFonts w:ascii="Times New Roman" w:eastAsia="方正楷体_GBK" w:cs="仿宋"/>
          <w:kern w:val="2"/>
        </w:rPr>
      </w:pPr>
      <w:r>
        <w:rPr>
          <w:rFonts w:hint="eastAsia" w:ascii="Times New Roman" w:eastAsia="方正楷体_GBK" w:cs="仿宋"/>
          <w:b/>
          <w:kern w:val="2"/>
        </w:rPr>
        <w:t>（六）优化公共服务供给，切实增进民生福祉。</w:t>
      </w:r>
      <w:r>
        <w:rPr>
          <w:rFonts w:hint="eastAsia" w:ascii="Times New Roman" w:eastAsia="方正楷体_GBK" w:cs="方正仿宋_GBK"/>
          <w:kern w:val="2"/>
        </w:rPr>
        <w:t>高质量完成民生实事。</w:t>
      </w:r>
      <w:r>
        <w:rPr>
          <w:rFonts w:hint="eastAsia" w:ascii="Times New Roman" w:cs="方正仿宋_GBK"/>
          <w:kern w:val="2"/>
        </w:rPr>
        <w:t>办好完善交通体系、提升宜居环境、夯实科教基础、丰富文创功能、促进稳定就业、守护“一老一小”等6大类12项年度重点民生实事项目。</w:t>
      </w:r>
      <w:r>
        <w:rPr>
          <w:rFonts w:hint="eastAsia" w:ascii="Times New Roman" w:eastAsia="方正楷体_GBK" w:cs="仿宋"/>
          <w:kern w:val="2"/>
        </w:rPr>
        <w:t>持续完善社会保障。</w:t>
      </w:r>
      <w:r>
        <w:rPr>
          <w:rFonts w:hint="eastAsia" w:ascii="Times New Roman"/>
          <w:kern w:val="2"/>
        </w:rPr>
        <w:t>强化就业保障，</w:t>
      </w:r>
      <w:r>
        <w:rPr>
          <w:rFonts w:ascii="Times New Roman"/>
          <w:kern w:val="2"/>
        </w:rPr>
        <w:t>提供就业岗位</w:t>
      </w:r>
      <w:r>
        <w:rPr>
          <w:rFonts w:hint="eastAsia" w:ascii="Times New Roman"/>
          <w:kern w:val="2"/>
        </w:rPr>
        <w:t>6</w:t>
      </w:r>
      <w:r>
        <w:rPr>
          <w:rFonts w:ascii="Times New Roman"/>
          <w:kern w:val="2"/>
        </w:rPr>
        <w:t>.</w:t>
      </w:r>
      <w:r>
        <w:rPr>
          <w:rFonts w:hint="eastAsia" w:ascii="Times New Roman"/>
          <w:kern w:val="2"/>
        </w:rPr>
        <w:t>2</w:t>
      </w:r>
      <w:r>
        <w:rPr>
          <w:rFonts w:ascii="Times New Roman"/>
          <w:kern w:val="2"/>
        </w:rPr>
        <w:t>万个，</w:t>
      </w:r>
      <w:r>
        <w:rPr>
          <w:rFonts w:hint="eastAsia" w:ascii="Times New Roman"/>
          <w:kern w:val="2"/>
        </w:rPr>
        <w:t>帮扶就业困难人员4500人，支持成功自主创业3800人</w:t>
      </w:r>
      <w:r>
        <w:rPr>
          <w:rFonts w:ascii="Times New Roman"/>
          <w:kern w:val="2"/>
        </w:rPr>
        <w:t>。社保</w:t>
      </w:r>
      <w:r>
        <w:rPr>
          <w:rFonts w:hint="eastAsia" w:ascii="Times New Roman"/>
          <w:kern w:val="2"/>
        </w:rPr>
        <w:t>扩面新增3万人，城乡居民基本养老保险保障水平、企业退休人员养老保险待遇稳步提升。完善居民医保筹资和待遇调整机制，学生少儿和其他居民医保个人筹资标准提高30元/人/年。</w:t>
      </w:r>
      <w:r>
        <w:rPr>
          <w:rFonts w:hint="eastAsia" w:ascii="Times New Roman" w:eastAsia="方正楷体_GBK" w:cs="仿宋"/>
          <w:kern w:val="2"/>
        </w:rPr>
        <w:t>加大优质教育资源供给。</w:t>
      </w:r>
      <w:r>
        <w:rPr>
          <w:rFonts w:hint="eastAsia" w:ascii="Times New Roman"/>
          <w:kern w:val="2"/>
          <w:szCs w:val="24"/>
        </w:rPr>
        <w:t>华师大江阴实验学校、江阴职技院改扩建三期建成投用，加快南菁实验学校城西校区建设。推动江阴一中创成省高品质特色高中。</w:t>
      </w:r>
      <w:r>
        <w:rPr>
          <w:rFonts w:hint="eastAsia" w:ascii="Times New Roman" w:eastAsia="方正楷体_GBK" w:cs="仿宋"/>
          <w:kern w:val="2"/>
        </w:rPr>
        <w:t>优化医疗资源布局。</w:t>
      </w:r>
      <w:r>
        <w:rPr>
          <w:rFonts w:hint="eastAsia" w:ascii="Times New Roman"/>
          <w:kern w:val="2"/>
        </w:rPr>
        <w:t>加快推进市妇幼保健院改建工程、江阴市肿瘤防治中心建设，确保市中医院异地新建项目建成投用</w:t>
      </w:r>
      <w:r>
        <w:rPr>
          <w:rFonts w:hint="eastAsia" w:ascii="Times New Roman" w:cs="方正仿宋_GBK"/>
          <w:kern w:val="2"/>
        </w:rPr>
        <w:t>。争创无锡市级区域医疗中心。</w:t>
      </w:r>
      <w:r>
        <w:rPr>
          <w:rFonts w:hint="eastAsia" w:ascii="Times New Roman" w:eastAsia="方正楷体_GBK" w:cs="仿宋"/>
          <w:kern w:val="2"/>
        </w:rPr>
        <w:t>提升“一老一小”保障能力。</w:t>
      </w:r>
      <w:r>
        <w:rPr>
          <w:rFonts w:hint="eastAsia" w:ascii="Times New Roman"/>
          <w:kern w:val="2"/>
        </w:rPr>
        <w:t>优化基本养老服务设施布局，构建“一刻钟”居家养老服务圈，完成特殊困难老年人家庭适老化改造300户。打造“1+N”未成年人保护联动新模式，提高全市未保工作针对性和有效性。每千名老人拥有养老床位43张，每千人口拥有3岁以下婴幼儿托位数4.5个。</w:t>
      </w:r>
      <w:r>
        <w:rPr>
          <w:rFonts w:hint="eastAsia" w:ascii="Times New Roman" w:eastAsia="方正楷体_GBK" w:cs="仿宋"/>
          <w:kern w:val="2"/>
        </w:rPr>
        <w:t>完善城乡文体服务。</w:t>
      </w:r>
      <w:r>
        <w:rPr>
          <w:rFonts w:hint="eastAsia" w:ascii="Times New Roman"/>
          <w:kern w:val="2"/>
        </w:rPr>
        <w:t>拓展艺风书房、“三味书咖”城市布点。推动体育公园、健身路径新建扩建。举办江阴市半程马拉松赛，积极承办各项省级以上体育竞赛。抓好文化遗产保护利用，完成5个“百宅百院”活化利用项目。</w:t>
      </w:r>
      <w:r>
        <w:rPr>
          <w:rFonts w:hint="eastAsia" w:ascii="Times New Roman" w:eastAsia="方正楷体_GBK" w:cs="仿宋"/>
          <w:kern w:val="2"/>
        </w:rPr>
        <w:t>维护发展大局稳定。</w:t>
      </w:r>
      <w:r>
        <w:rPr>
          <w:rFonts w:hint="eastAsia" w:ascii="Times New Roman"/>
          <w:kern w:val="2"/>
        </w:rPr>
        <w:t>开展安全生产治本攻坚三年行动，</w:t>
      </w:r>
      <w:r>
        <w:rPr>
          <w:rFonts w:hint="eastAsia" w:ascii="Times New Roman" w:cs="方正仿宋_GBK"/>
          <w:kern w:val="2"/>
        </w:rPr>
        <w:t>紧盯危化品、冶金工贸、城镇燃气、交通运输、建筑施工等重点行业领域，开展重大事故隐患拉网式排查和“回头看”检查。</w:t>
      </w:r>
      <w:r>
        <w:rPr>
          <w:rFonts w:ascii="Times New Roman" w:cs="方正仿宋_GBK"/>
          <w:kern w:val="2"/>
        </w:rPr>
        <w:t>深</w:t>
      </w:r>
      <w:r>
        <w:rPr>
          <w:rFonts w:hint="eastAsia" w:ascii="Times New Roman" w:cs="方正仿宋_GBK"/>
          <w:kern w:val="2"/>
        </w:rPr>
        <w:t>化“厂中厂”专项整治，确保安全生产事故起数、亡人数持续“双下降</w:t>
      </w:r>
      <w:r>
        <w:rPr>
          <w:rFonts w:hint="eastAsia" w:ascii="Times New Roman"/>
          <w:kern w:val="2"/>
        </w:rPr>
        <w:t>”。</w:t>
      </w:r>
      <w:r>
        <w:rPr>
          <w:rFonts w:ascii="Times New Roman"/>
          <w:kern w:val="2"/>
        </w:rPr>
        <w:t>严打</w:t>
      </w:r>
      <w:r>
        <w:rPr>
          <w:rFonts w:hint="eastAsia" w:ascii="Times New Roman"/>
          <w:kern w:val="2"/>
        </w:rPr>
        <w:t>各类</w:t>
      </w:r>
      <w:r>
        <w:rPr>
          <w:rFonts w:ascii="Times New Roman"/>
          <w:kern w:val="2"/>
        </w:rPr>
        <w:t>违法犯罪，</w:t>
      </w:r>
      <w:r>
        <w:rPr>
          <w:rFonts w:hint="eastAsia" w:ascii="Times New Roman"/>
          <w:kern w:val="2"/>
        </w:rPr>
        <w:t>巩固</w:t>
      </w:r>
      <w:r>
        <w:rPr>
          <w:rFonts w:ascii="Times New Roman"/>
          <w:kern w:val="2"/>
        </w:rPr>
        <w:t>平安江阴建设</w:t>
      </w:r>
      <w:r>
        <w:rPr>
          <w:rFonts w:hint="eastAsia" w:ascii="Times New Roman"/>
          <w:kern w:val="2"/>
        </w:rPr>
        <w:t>成果</w:t>
      </w:r>
      <w:r>
        <w:rPr>
          <w:rFonts w:ascii="Times New Roman"/>
          <w:kern w:val="2"/>
        </w:rPr>
        <w:t>。</w:t>
      </w:r>
      <w:r>
        <w:rPr>
          <w:rFonts w:hint="eastAsia" w:ascii="Times New Roman"/>
          <w:kern w:val="2"/>
        </w:rPr>
        <w:t>防范化解“问题楼盘”涉稳风险。</w:t>
      </w:r>
      <w:r>
        <w:rPr>
          <w:rFonts w:hint="eastAsia" w:ascii="Times New Roman"/>
          <w:kern w:val="2"/>
          <w:szCs w:val="19"/>
        </w:rPr>
        <w:t>全力化解重点领域信访突出问题。</w:t>
      </w:r>
    </w:p>
    <w:p>
      <w:pPr>
        <w:overflowPunct w:val="0"/>
        <w:ind w:firstLine="588" w:firstLineChars="200"/>
        <w:rPr>
          <w:rFonts w:ascii="Times New Roman"/>
          <w:spacing w:val="-4"/>
          <w:kern w:val="2"/>
        </w:rPr>
      </w:pPr>
    </w:p>
    <w:p>
      <w:pPr>
        <w:overflowPunct w:val="0"/>
        <w:ind w:left="1998" w:leftChars="199" w:hanging="1398" w:hangingChars="463"/>
        <w:rPr>
          <w:rFonts w:ascii="Times New Roman"/>
          <w:kern w:val="2"/>
        </w:rPr>
      </w:pPr>
      <w:r>
        <w:rPr>
          <w:rFonts w:hint="eastAsia" w:ascii="Times New Roman"/>
          <w:kern w:val="2"/>
        </w:rPr>
        <w:t>附件：1、江阴市2023年国民经济和社会发展主要指标预计</w:t>
      </w:r>
    </w:p>
    <w:p>
      <w:pPr>
        <w:overflowPunct w:val="0"/>
        <w:ind w:left="1993" w:leftChars="658" w:hanging="6" w:hangingChars="2"/>
        <w:rPr>
          <w:rFonts w:ascii="Times New Roman"/>
          <w:spacing w:val="-4"/>
          <w:kern w:val="2"/>
        </w:rPr>
      </w:pPr>
      <w:r>
        <w:rPr>
          <w:rFonts w:hint="eastAsia" w:ascii="Times New Roman"/>
          <w:kern w:val="2"/>
        </w:rPr>
        <w:t>完成情况和2024年目标建议</w:t>
      </w:r>
    </w:p>
    <w:p>
      <w:pPr>
        <w:overflowPunct w:val="0"/>
        <w:ind w:left="1386" w:leftChars="459" w:firstLine="138" w:firstLineChars="47"/>
        <w:rPr>
          <w:rFonts w:ascii="Times New Roman"/>
          <w:kern w:val="2"/>
        </w:rPr>
      </w:pPr>
      <w:r>
        <w:rPr>
          <w:rFonts w:hint="eastAsia" w:ascii="Times New Roman"/>
          <w:spacing w:val="-4"/>
          <w:kern w:val="2"/>
        </w:rPr>
        <w:t>2</w:t>
      </w:r>
      <w:r>
        <w:rPr>
          <w:rFonts w:hint="eastAsia" w:ascii="Times New Roman"/>
          <w:kern w:val="2"/>
        </w:rPr>
        <w:t>、江阴市2024年保障性安居房建设工程项目表</w:t>
      </w:r>
    </w:p>
    <w:p>
      <w:pPr>
        <w:widowControl/>
        <w:overflowPunct w:val="0"/>
        <w:jc w:val="left"/>
        <w:rPr>
          <w:rFonts w:ascii="Times New Roman"/>
          <w:kern w:val="2"/>
        </w:rPr>
      </w:pPr>
      <w:r>
        <w:rPr>
          <w:rFonts w:ascii="Times New Roman"/>
          <w:kern w:val="2"/>
        </w:rPr>
        <w:br w:type="page"/>
      </w:r>
      <w:r>
        <w:rPr>
          <w:rFonts w:hint="eastAsia" w:ascii="Times New Roman" w:eastAsia="方正黑体_GBK"/>
          <w:kern w:val="2"/>
        </w:rPr>
        <w:t>附件1</w:t>
      </w:r>
    </w:p>
    <w:p>
      <w:pPr>
        <w:spacing w:beforeLines="30" w:line="0" w:lineRule="atLeast"/>
        <w:jc w:val="center"/>
        <w:rPr>
          <w:rFonts w:ascii="Times New Roman" w:eastAsia="方正小标宋_GBK"/>
          <w:kern w:val="2"/>
          <w:sz w:val="44"/>
          <w:szCs w:val="44"/>
        </w:rPr>
      </w:pPr>
      <w:r>
        <w:rPr>
          <w:rFonts w:hint="eastAsia" w:ascii="Times New Roman" w:eastAsia="方正小标宋_GBK"/>
          <w:kern w:val="2"/>
          <w:sz w:val="44"/>
          <w:szCs w:val="44"/>
        </w:rPr>
        <w:t>江阴市</w:t>
      </w:r>
      <w:r>
        <w:rPr>
          <w:rFonts w:ascii="Times New Roman" w:eastAsia="方正小标宋_GBK"/>
          <w:kern w:val="2"/>
          <w:sz w:val="44"/>
          <w:szCs w:val="44"/>
        </w:rPr>
        <w:t>202</w:t>
      </w:r>
      <w:r>
        <w:rPr>
          <w:rFonts w:hint="eastAsia" w:ascii="Times New Roman" w:eastAsia="方正小标宋_GBK"/>
          <w:kern w:val="2"/>
          <w:sz w:val="44"/>
          <w:szCs w:val="44"/>
        </w:rPr>
        <w:t>3年国民经济和社会发展</w:t>
      </w:r>
    </w:p>
    <w:p>
      <w:pPr>
        <w:overflowPunct w:val="0"/>
        <w:spacing w:afterLines="30" w:line="0" w:lineRule="atLeast"/>
        <w:jc w:val="center"/>
        <w:rPr>
          <w:rFonts w:ascii="Times New Roman"/>
          <w:kern w:val="2"/>
        </w:rPr>
      </w:pPr>
      <w:r>
        <w:rPr>
          <w:rFonts w:hint="eastAsia" w:ascii="Times New Roman" w:eastAsia="方正小标宋_GBK"/>
          <w:kern w:val="2"/>
          <w:sz w:val="44"/>
          <w:szCs w:val="44"/>
        </w:rPr>
        <w:t>主要指标预计完成情况和</w:t>
      </w:r>
      <w:r>
        <w:rPr>
          <w:rFonts w:ascii="Times New Roman" w:eastAsia="方正小标宋_GBK"/>
          <w:kern w:val="2"/>
          <w:sz w:val="44"/>
          <w:szCs w:val="44"/>
        </w:rPr>
        <w:t>202</w:t>
      </w:r>
      <w:r>
        <w:rPr>
          <w:rFonts w:hint="eastAsia" w:ascii="Times New Roman" w:eastAsia="方正小标宋_GBK"/>
          <w:kern w:val="2"/>
          <w:sz w:val="44"/>
          <w:szCs w:val="44"/>
        </w:rPr>
        <w:t>4年目标建议</w:t>
      </w:r>
    </w:p>
    <w:tbl>
      <w:tblPr>
        <w:tblStyle w:val="8"/>
        <w:tblW w:w="88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5"/>
        <w:gridCol w:w="2293"/>
        <w:gridCol w:w="1981"/>
        <w:gridCol w:w="1999"/>
        <w:gridCol w:w="19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ind w:left="-151" w:leftChars="-50" w:right="-151" w:rightChars="-50"/>
              <w:jc w:val="center"/>
              <w:rPr>
                <w:rFonts w:ascii="Times New Roman" w:eastAsia="方正黑体_GBK"/>
                <w:kern w:val="2"/>
                <w:sz w:val="24"/>
              </w:rPr>
            </w:pPr>
            <w:r>
              <w:rPr>
                <w:rFonts w:hint="eastAsia" w:ascii="Times New Roman" w:eastAsia="方正黑体_GBK"/>
                <w:kern w:val="2"/>
                <w:sz w:val="24"/>
              </w:rPr>
              <w:t>序号</w:t>
            </w:r>
          </w:p>
        </w:tc>
        <w:tc>
          <w:tcPr>
            <w:tcW w:w="2293" w:type="dxa"/>
            <w:noWrap/>
            <w:vAlign w:val="center"/>
          </w:tcPr>
          <w:p>
            <w:pPr>
              <w:overflowPunct w:val="0"/>
              <w:spacing w:line="300" w:lineRule="exact"/>
              <w:jc w:val="center"/>
              <w:rPr>
                <w:rFonts w:ascii="Times New Roman" w:eastAsia="方正黑体_GBK"/>
                <w:kern w:val="2"/>
                <w:sz w:val="24"/>
              </w:rPr>
            </w:pPr>
            <w:r>
              <w:rPr>
                <w:rFonts w:hint="eastAsia" w:ascii="Times New Roman" w:eastAsia="方正黑体_GBK"/>
                <w:kern w:val="2"/>
                <w:sz w:val="24"/>
              </w:rPr>
              <w:t>指标</w:t>
            </w:r>
          </w:p>
        </w:tc>
        <w:tc>
          <w:tcPr>
            <w:tcW w:w="1981" w:type="dxa"/>
            <w:vAlign w:val="center"/>
          </w:tcPr>
          <w:p>
            <w:pPr>
              <w:overflowPunct w:val="0"/>
              <w:spacing w:line="300" w:lineRule="exact"/>
              <w:jc w:val="center"/>
              <w:rPr>
                <w:rFonts w:ascii="Times New Roman" w:eastAsia="方正黑体_GBK"/>
                <w:kern w:val="2"/>
                <w:sz w:val="24"/>
              </w:rPr>
            </w:pPr>
            <w:r>
              <w:rPr>
                <w:rFonts w:ascii="Times New Roman" w:eastAsia="方正黑体_GBK"/>
                <w:kern w:val="2"/>
                <w:sz w:val="24"/>
              </w:rPr>
              <w:t>202</w:t>
            </w:r>
            <w:r>
              <w:rPr>
                <w:rFonts w:hint="eastAsia" w:ascii="Times New Roman" w:eastAsia="方正黑体_GBK"/>
                <w:kern w:val="2"/>
                <w:sz w:val="24"/>
              </w:rPr>
              <w:t>3年</w:t>
            </w:r>
          </w:p>
          <w:p>
            <w:pPr>
              <w:overflowPunct w:val="0"/>
              <w:spacing w:line="300" w:lineRule="exact"/>
              <w:jc w:val="center"/>
              <w:rPr>
                <w:rFonts w:ascii="Times New Roman" w:eastAsia="方正黑体_GBK"/>
                <w:kern w:val="2"/>
                <w:sz w:val="24"/>
              </w:rPr>
            </w:pPr>
            <w:r>
              <w:rPr>
                <w:rFonts w:hint="eastAsia" w:ascii="Times New Roman" w:eastAsia="方正黑体_GBK"/>
                <w:kern w:val="2"/>
                <w:sz w:val="24"/>
              </w:rPr>
              <w:t>计划目标</w:t>
            </w:r>
          </w:p>
        </w:tc>
        <w:tc>
          <w:tcPr>
            <w:tcW w:w="1999" w:type="dxa"/>
            <w:vAlign w:val="center"/>
          </w:tcPr>
          <w:p>
            <w:pPr>
              <w:spacing w:line="300" w:lineRule="exact"/>
              <w:jc w:val="center"/>
              <w:rPr>
                <w:rFonts w:ascii="Times New Roman" w:eastAsia="方正黑体_GBK"/>
                <w:kern w:val="2"/>
                <w:sz w:val="24"/>
              </w:rPr>
            </w:pPr>
            <w:r>
              <w:rPr>
                <w:rFonts w:ascii="Times New Roman" w:eastAsia="方正黑体_GBK"/>
                <w:kern w:val="2"/>
                <w:sz w:val="24"/>
              </w:rPr>
              <w:t>202</w:t>
            </w:r>
            <w:r>
              <w:rPr>
                <w:rFonts w:hint="eastAsia" w:ascii="Times New Roman" w:eastAsia="方正黑体_GBK"/>
                <w:kern w:val="2"/>
                <w:sz w:val="24"/>
              </w:rPr>
              <w:t>3年</w:t>
            </w:r>
          </w:p>
          <w:p>
            <w:pPr>
              <w:spacing w:line="300" w:lineRule="exact"/>
              <w:jc w:val="center"/>
              <w:rPr>
                <w:rFonts w:ascii="Times New Roman" w:eastAsia="方正黑体_GBK"/>
                <w:kern w:val="2"/>
                <w:sz w:val="24"/>
              </w:rPr>
            </w:pPr>
            <w:r>
              <w:rPr>
                <w:rFonts w:hint="eastAsia" w:ascii="Times New Roman" w:eastAsia="方正黑体_GBK"/>
                <w:kern w:val="2"/>
                <w:sz w:val="24"/>
              </w:rPr>
              <w:t>全年预计</w:t>
            </w:r>
          </w:p>
        </w:tc>
        <w:tc>
          <w:tcPr>
            <w:tcW w:w="1933" w:type="dxa"/>
            <w:vAlign w:val="center"/>
          </w:tcPr>
          <w:p>
            <w:pPr>
              <w:spacing w:line="300" w:lineRule="exact"/>
              <w:jc w:val="center"/>
              <w:rPr>
                <w:rFonts w:ascii="Times New Roman" w:eastAsia="方正黑体_GBK"/>
                <w:kern w:val="2"/>
                <w:sz w:val="24"/>
              </w:rPr>
            </w:pPr>
            <w:r>
              <w:rPr>
                <w:rFonts w:ascii="Times New Roman" w:eastAsia="方正黑体_GBK"/>
                <w:kern w:val="2"/>
                <w:sz w:val="24"/>
              </w:rPr>
              <w:t>202</w:t>
            </w:r>
            <w:r>
              <w:rPr>
                <w:rFonts w:hint="eastAsia" w:ascii="Times New Roman" w:eastAsia="方正黑体_GBK"/>
                <w:kern w:val="2"/>
                <w:sz w:val="24"/>
              </w:rPr>
              <w:t>4年</w:t>
            </w:r>
          </w:p>
          <w:p>
            <w:pPr>
              <w:spacing w:line="300" w:lineRule="exact"/>
              <w:jc w:val="center"/>
              <w:rPr>
                <w:rFonts w:ascii="Times New Roman" w:eastAsia="方正黑体_GBK"/>
                <w:kern w:val="2"/>
                <w:sz w:val="24"/>
              </w:rPr>
            </w:pPr>
            <w:r>
              <w:rPr>
                <w:rFonts w:hint="eastAsia" w:ascii="Times New Roman" w:eastAsia="方正黑体_GBK"/>
                <w:kern w:val="2"/>
                <w:sz w:val="24"/>
              </w:rPr>
              <w:t>目标建议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1</w:t>
            </w:r>
          </w:p>
        </w:tc>
        <w:tc>
          <w:tcPr>
            <w:tcW w:w="2293" w:type="dxa"/>
            <w:noWrap/>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地区生产总值</w:t>
            </w:r>
          </w:p>
        </w:tc>
        <w:tc>
          <w:tcPr>
            <w:tcW w:w="1981"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5%左右</w:t>
            </w:r>
          </w:p>
        </w:tc>
        <w:tc>
          <w:tcPr>
            <w:tcW w:w="1999"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5.8%左右</w:t>
            </w:r>
          </w:p>
        </w:tc>
        <w:tc>
          <w:tcPr>
            <w:tcW w:w="1933"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5%以上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2</w:t>
            </w:r>
          </w:p>
        </w:tc>
        <w:tc>
          <w:tcPr>
            <w:tcW w:w="2293" w:type="dxa"/>
            <w:noWrap/>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一般公共预算收入</w:t>
            </w:r>
          </w:p>
        </w:tc>
        <w:tc>
          <w:tcPr>
            <w:tcW w:w="1981"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5.5%以上</w:t>
            </w:r>
          </w:p>
        </w:tc>
        <w:tc>
          <w:tcPr>
            <w:tcW w:w="1999"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9.5%</w:t>
            </w:r>
          </w:p>
        </w:tc>
        <w:tc>
          <w:tcPr>
            <w:tcW w:w="1933"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3</w:t>
            </w:r>
          </w:p>
        </w:tc>
        <w:tc>
          <w:tcPr>
            <w:tcW w:w="2293" w:type="dxa"/>
            <w:noWrap/>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规模以上工业增加值</w:t>
            </w:r>
          </w:p>
        </w:tc>
        <w:tc>
          <w:tcPr>
            <w:tcW w:w="1981"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6.5%左右</w:t>
            </w:r>
          </w:p>
        </w:tc>
        <w:tc>
          <w:tcPr>
            <w:tcW w:w="1999"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7.5%以上</w:t>
            </w:r>
          </w:p>
        </w:tc>
        <w:tc>
          <w:tcPr>
            <w:tcW w:w="1933"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4</w:t>
            </w:r>
          </w:p>
        </w:tc>
        <w:tc>
          <w:tcPr>
            <w:tcW w:w="2293" w:type="dxa"/>
            <w:noWrap/>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规上服务业营业收入</w:t>
            </w:r>
          </w:p>
        </w:tc>
        <w:tc>
          <w:tcPr>
            <w:tcW w:w="1981"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8</w:t>
            </w:r>
            <w:r>
              <w:rPr>
                <w:rFonts w:ascii="Times New Roman" w:eastAsia="方正楷体_GBK"/>
                <w:kern w:val="2"/>
                <w:sz w:val="24"/>
              </w:rPr>
              <w:t>%</w:t>
            </w:r>
            <w:r>
              <w:rPr>
                <w:rFonts w:hint="eastAsia" w:ascii="Times New Roman" w:eastAsia="方正楷体_GBK"/>
                <w:kern w:val="2"/>
                <w:sz w:val="24"/>
              </w:rPr>
              <w:t>左右</w:t>
            </w:r>
          </w:p>
        </w:tc>
        <w:tc>
          <w:tcPr>
            <w:tcW w:w="1999"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正增长</w:t>
            </w:r>
          </w:p>
        </w:tc>
        <w:tc>
          <w:tcPr>
            <w:tcW w:w="1933"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5%左右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5</w:t>
            </w:r>
          </w:p>
        </w:tc>
        <w:tc>
          <w:tcPr>
            <w:tcW w:w="2293" w:type="dxa"/>
            <w:noWrap/>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固定资产投资</w:t>
            </w:r>
          </w:p>
        </w:tc>
        <w:tc>
          <w:tcPr>
            <w:tcW w:w="1981"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880亿元</w:t>
            </w:r>
          </w:p>
        </w:tc>
        <w:tc>
          <w:tcPr>
            <w:tcW w:w="1999" w:type="dxa"/>
            <w:vAlign w:val="center"/>
          </w:tcPr>
          <w:p>
            <w:pPr>
              <w:overflowPunct w:val="0"/>
              <w:spacing w:line="0" w:lineRule="atLeast"/>
              <w:jc w:val="center"/>
              <w:rPr>
                <w:rFonts w:ascii="Times New Roman" w:eastAsia="方正楷体_GBK"/>
                <w:kern w:val="2"/>
                <w:sz w:val="24"/>
              </w:rPr>
            </w:pPr>
            <w:r>
              <w:rPr>
                <w:rFonts w:hint="eastAsia" w:ascii="Times New Roman" w:eastAsia="方正楷体_GBK"/>
                <w:kern w:val="2"/>
                <w:sz w:val="24"/>
              </w:rPr>
              <w:t>880亿元</w:t>
            </w:r>
          </w:p>
        </w:tc>
        <w:tc>
          <w:tcPr>
            <w:tcW w:w="1933" w:type="dxa"/>
            <w:vAlign w:val="center"/>
          </w:tcPr>
          <w:p>
            <w:pPr>
              <w:overflowPunct w:val="0"/>
              <w:spacing w:line="0" w:lineRule="atLeast"/>
              <w:jc w:val="center"/>
              <w:rPr>
                <w:rFonts w:ascii="Times New Roman" w:eastAsia="方正楷体_GBK"/>
                <w:kern w:val="2"/>
                <w:sz w:val="24"/>
              </w:rPr>
            </w:pPr>
            <w:r>
              <w:rPr>
                <w:rFonts w:hint="eastAsia" w:ascii="Times New Roman" w:eastAsia="方正楷体_GBK"/>
                <w:kern w:val="2"/>
                <w:sz w:val="24"/>
              </w:rPr>
              <w:t>900亿元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6</w:t>
            </w:r>
          </w:p>
        </w:tc>
        <w:tc>
          <w:tcPr>
            <w:tcW w:w="2293" w:type="dxa"/>
            <w:noWrap/>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社会消费品零售总额</w:t>
            </w:r>
          </w:p>
        </w:tc>
        <w:tc>
          <w:tcPr>
            <w:tcW w:w="1981"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7%左右</w:t>
            </w:r>
          </w:p>
        </w:tc>
        <w:tc>
          <w:tcPr>
            <w:tcW w:w="1999"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3.8%</w:t>
            </w:r>
          </w:p>
        </w:tc>
        <w:tc>
          <w:tcPr>
            <w:tcW w:w="1933"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5%以上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7</w:t>
            </w:r>
          </w:p>
        </w:tc>
        <w:tc>
          <w:tcPr>
            <w:tcW w:w="2293" w:type="dxa"/>
            <w:noWrap/>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进出口总额</w:t>
            </w:r>
          </w:p>
        </w:tc>
        <w:tc>
          <w:tcPr>
            <w:tcW w:w="1981"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保稳提质</w:t>
            </w:r>
          </w:p>
        </w:tc>
        <w:tc>
          <w:tcPr>
            <w:tcW w:w="1999"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持平</w:t>
            </w:r>
          </w:p>
        </w:tc>
        <w:tc>
          <w:tcPr>
            <w:tcW w:w="1933"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稳中提质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8</w:t>
            </w:r>
          </w:p>
        </w:tc>
        <w:tc>
          <w:tcPr>
            <w:tcW w:w="2293" w:type="dxa"/>
            <w:noWrap/>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实际使用外资</w:t>
            </w:r>
          </w:p>
        </w:tc>
        <w:tc>
          <w:tcPr>
            <w:tcW w:w="1981"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9.5亿美元</w:t>
            </w:r>
          </w:p>
        </w:tc>
        <w:tc>
          <w:tcPr>
            <w:tcW w:w="1999"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11亿美元</w:t>
            </w:r>
          </w:p>
        </w:tc>
        <w:tc>
          <w:tcPr>
            <w:tcW w:w="1933"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9.5亿美元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9</w:t>
            </w:r>
          </w:p>
        </w:tc>
        <w:tc>
          <w:tcPr>
            <w:tcW w:w="2293" w:type="dxa"/>
            <w:noWrap/>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居民人均可支配收入</w:t>
            </w:r>
          </w:p>
        </w:tc>
        <w:tc>
          <w:tcPr>
            <w:tcW w:w="1981"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与经济增长</w:t>
            </w:r>
          </w:p>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保持同步</w:t>
            </w:r>
          </w:p>
        </w:tc>
        <w:tc>
          <w:tcPr>
            <w:tcW w:w="1999"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5%以上</w:t>
            </w:r>
          </w:p>
        </w:tc>
        <w:tc>
          <w:tcPr>
            <w:tcW w:w="1933"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与经济增长</w:t>
            </w:r>
          </w:p>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保持同步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10</w:t>
            </w:r>
          </w:p>
        </w:tc>
        <w:tc>
          <w:tcPr>
            <w:tcW w:w="2293" w:type="dxa"/>
            <w:noWrap/>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城镇新增就业人数、城镇调查失业率</w:t>
            </w:r>
          </w:p>
        </w:tc>
        <w:tc>
          <w:tcPr>
            <w:tcW w:w="1981"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2.3万人、5</w:t>
            </w:r>
            <w:r>
              <w:rPr>
                <w:rFonts w:ascii="Times New Roman" w:eastAsia="方正楷体_GBK"/>
                <w:kern w:val="2"/>
                <w:sz w:val="24"/>
              </w:rPr>
              <w:t>%</w:t>
            </w:r>
            <w:r>
              <w:rPr>
                <w:rFonts w:hint="eastAsia" w:ascii="Times New Roman" w:eastAsia="方正楷体_GBK"/>
                <w:kern w:val="2"/>
                <w:sz w:val="24"/>
              </w:rPr>
              <w:t>左右</w:t>
            </w:r>
          </w:p>
        </w:tc>
        <w:tc>
          <w:tcPr>
            <w:tcW w:w="1999" w:type="dxa"/>
            <w:vAlign w:val="center"/>
          </w:tcPr>
          <w:p>
            <w:pPr>
              <w:overflowPunct w:val="0"/>
              <w:spacing w:line="0" w:lineRule="atLeast"/>
              <w:jc w:val="center"/>
              <w:rPr>
                <w:rFonts w:ascii="Times New Roman" w:eastAsia="方正楷体_GBK"/>
                <w:kern w:val="2"/>
                <w:sz w:val="24"/>
              </w:rPr>
            </w:pPr>
            <w:r>
              <w:rPr>
                <w:rFonts w:hint="eastAsia" w:ascii="Times New Roman" w:eastAsia="方正楷体_GBK"/>
                <w:kern w:val="2"/>
                <w:sz w:val="24"/>
              </w:rPr>
              <w:t>2.75万人、5</w:t>
            </w:r>
            <w:r>
              <w:rPr>
                <w:rFonts w:ascii="Times New Roman" w:eastAsia="方正楷体_GBK"/>
                <w:kern w:val="2"/>
                <w:sz w:val="24"/>
              </w:rPr>
              <w:t>%</w:t>
            </w:r>
            <w:r>
              <w:rPr>
                <w:rFonts w:hint="eastAsia" w:ascii="Times New Roman" w:eastAsia="方正楷体_GBK"/>
                <w:kern w:val="2"/>
                <w:sz w:val="24"/>
              </w:rPr>
              <w:t>左右</w:t>
            </w:r>
          </w:p>
        </w:tc>
        <w:tc>
          <w:tcPr>
            <w:tcW w:w="1933" w:type="dxa"/>
            <w:vAlign w:val="center"/>
          </w:tcPr>
          <w:p>
            <w:pPr>
              <w:overflowPunct w:val="0"/>
              <w:spacing w:line="0" w:lineRule="atLeast"/>
              <w:jc w:val="center"/>
              <w:rPr>
                <w:rFonts w:ascii="Times New Roman" w:eastAsia="方正楷体_GBK"/>
                <w:kern w:val="2"/>
                <w:sz w:val="24"/>
              </w:rPr>
            </w:pPr>
            <w:r>
              <w:rPr>
                <w:rFonts w:hint="eastAsia" w:ascii="Times New Roman" w:eastAsia="方正楷体_GBK"/>
                <w:kern w:val="2"/>
                <w:sz w:val="24"/>
              </w:rPr>
              <w:t>2.6万人、5</w:t>
            </w:r>
            <w:r>
              <w:rPr>
                <w:rFonts w:ascii="Times New Roman" w:eastAsia="方正楷体_GBK"/>
                <w:kern w:val="2"/>
                <w:sz w:val="24"/>
              </w:rPr>
              <w:t>%</w:t>
            </w:r>
            <w:r>
              <w:rPr>
                <w:rFonts w:hint="eastAsia" w:ascii="Times New Roman" w:eastAsia="方正楷体_GBK"/>
                <w:kern w:val="2"/>
                <w:sz w:val="24"/>
              </w:rPr>
              <w:t>左右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11</w:t>
            </w:r>
          </w:p>
        </w:tc>
        <w:tc>
          <w:tcPr>
            <w:tcW w:w="2293" w:type="dxa"/>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单位地区生产总值能耗下降</w:t>
            </w:r>
          </w:p>
        </w:tc>
        <w:tc>
          <w:tcPr>
            <w:tcW w:w="1981"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完成上级下达的</w:t>
            </w:r>
          </w:p>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目标任务</w:t>
            </w:r>
          </w:p>
        </w:tc>
        <w:tc>
          <w:tcPr>
            <w:tcW w:w="1999"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完成上级下达的</w:t>
            </w:r>
          </w:p>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目标任务</w:t>
            </w:r>
          </w:p>
        </w:tc>
        <w:tc>
          <w:tcPr>
            <w:tcW w:w="1933"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完成上级下达的目标任务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vMerge w:val="restart"/>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12</w:t>
            </w:r>
          </w:p>
        </w:tc>
        <w:tc>
          <w:tcPr>
            <w:tcW w:w="8206" w:type="dxa"/>
            <w:gridSpan w:val="4"/>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主要污染物减排量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vMerge w:val="continue"/>
            <w:noWrap/>
            <w:vAlign w:val="center"/>
          </w:tcPr>
          <w:p>
            <w:pPr>
              <w:overflowPunct w:val="0"/>
              <w:spacing w:before="340" w:after="330" w:line="300" w:lineRule="exact"/>
              <w:jc w:val="center"/>
              <w:rPr>
                <w:rFonts w:ascii="Times New Roman" w:eastAsia="方正楷体_GBK"/>
                <w:kern w:val="2"/>
                <w:sz w:val="24"/>
              </w:rPr>
            </w:pPr>
          </w:p>
        </w:tc>
        <w:tc>
          <w:tcPr>
            <w:tcW w:w="2293" w:type="dxa"/>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w:t>
            </w:r>
            <w:r>
              <w:rPr>
                <w:rFonts w:ascii="Times New Roman" w:eastAsia="方正楷体_GBK"/>
                <w:kern w:val="2"/>
                <w:sz w:val="24"/>
              </w:rPr>
              <w:t>1</w:t>
            </w:r>
            <w:r>
              <w:rPr>
                <w:rFonts w:hint="eastAsia" w:ascii="Times New Roman" w:eastAsia="方正楷体_GBK"/>
                <w:kern w:val="2"/>
                <w:sz w:val="24"/>
              </w:rPr>
              <w:t>）化学需氧量</w:t>
            </w:r>
          </w:p>
        </w:tc>
        <w:tc>
          <w:tcPr>
            <w:tcW w:w="1981" w:type="dxa"/>
            <w:vMerge w:val="restart"/>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完成上级下达的</w:t>
            </w:r>
          </w:p>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目标任务</w:t>
            </w:r>
          </w:p>
        </w:tc>
        <w:tc>
          <w:tcPr>
            <w:tcW w:w="1999" w:type="dxa"/>
            <w:vMerge w:val="restart"/>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完成上级下达的</w:t>
            </w:r>
          </w:p>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目标任务</w:t>
            </w:r>
          </w:p>
        </w:tc>
        <w:tc>
          <w:tcPr>
            <w:tcW w:w="1933" w:type="dxa"/>
            <w:vMerge w:val="restart"/>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完成上级下达的目标任务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vMerge w:val="continue"/>
            <w:noWrap/>
            <w:vAlign w:val="center"/>
          </w:tcPr>
          <w:p>
            <w:pPr>
              <w:overflowPunct w:val="0"/>
              <w:spacing w:before="340" w:after="330" w:line="300" w:lineRule="exact"/>
              <w:jc w:val="center"/>
              <w:rPr>
                <w:rFonts w:ascii="Times New Roman" w:eastAsia="方正楷体_GBK"/>
                <w:kern w:val="2"/>
                <w:sz w:val="24"/>
              </w:rPr>
            </w:pPr>
          </w:p>
        </w:tc>
        <w:tc>
          <w:tcPr>
            <w:tcW w:w="2293" w:type="dxa"/>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w:t>
            </w:r>
            <w:r>
              <w:rPr>
                <w:rFonts w:ascii="Times New Roman" w:eastAsia="方正楷体_GBK"/>
                <w:kern w:val="2"/>
                <w:sz w:val="24"/>
              </w:rPr>
              <w:t>2</w:t>
            </w:r>
            <w:r>
              <w:rPr>
                <w:rFonts w:hint="eastAsia" w:ascii="Times New Roman" w:eastAsia="方正楷体_GBK"/>
                <w:kern w:val="2"/>
                <w:sz w:val="24"/>
              </w:rPr>
              <w:t>）氨氮</w:t>
            </w:r>
          </w:p>
        </w:tc>
        <w:tc>
          <w:tcPr>
            <w:tcW w:w="1981" w:type="dxa"/>
            <w:vMerge w:val="continue"/>
            <w:vAlign w:val="center"/>
          </w:tcPr>
          <w:p>
            <w:pPr>
              <w:overflowPunct w:val="0"/>
              <w:spacing w:line="300" w:lineRule="exact"/>
              <w:jc w:val="center"/>
              <w:rPr>
                <w:rFonts w:ascii="Times New Roman" w:eastAsia="方正楷体_GBK"/>
                <w:kern w:val="2"/>
                <w:sz w:val="24"/>
              </w:rPr>
            </w:pPr>
          </w:p>
        </w:tc>
        <w:tc>
          <w:tcPr>
            <w:tcW w:w="1999" w:type="dxa"/>
            <w:vMerge w:val="continue"/>
            <w:vAlign w:val="center"/>
          </w:tcPr>
          <w:p>
            <w:pPr>
              <w:overflowPunct w:val="0"/>
              <w:spacing w:line="300" w:lineRule="exact"/>
              <w:jc w:val="center"/>
              <w:rPr>
                <w:rFonts w:ascii="Times New Roman" w:eastAsia="方正楷体_GBK"/>
                <w:kern w:val="2"/>
                <w:sz w:val="24"/>
              </w:rPr>
            </w:pPr>
          </w:p>
        </w:tc>
        <w:tc>
          <w:tcPr>
            <w:tcW w:w="1933" w:type="dxa"/>
            <w:vMerge w:val="continue"/>
            <w:vAlign w:val="center"/>
          </w:tcPr>
          <w:p>
            <w:pPr>
              <w:overflowPunct w:val="0"/>
              <w:spacing w:line="300" w:lineRule="exact"/>
              <w:jc w:val="center"/>
              <w:rPr>
                <w:rFonts w:ascii="Times New Roman" w:eastAsia="方正楷体_GBK"/>
                <w:kern w:val="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vMerge w:val="continue"/>
            <w:noWrap/>
            <w:vAlign w:val="center"/>
          </w:tcPr>
          <w:p>
            <w:pPr>
              <w:overflowPunct w:val="0"/>
              <w:spacing w:line="300" w:lineRule="exact"/>
              <w:jc w:val="center"/>
              <w:rPr>
                <w:rFonts w:ascii="Times New Roman" w:eastAsia="方正楷体_GBK"/>
                <w:kern w:val="2"/>
                <w:sz w:val="24"/>
              </w:rPr>
            </w:pPr>
          </w:p>
        </w:tc>
        <w:tc>
          <w:tcPr>
            <w:tcW w:w="2293" w:type="dxa"/>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w:t>
            </w:r>
            <w:r>
              <w:rPr>
                <w:rFonts w:ascii="Times New Roman" w:eastAsia="方正楷体_GBK"/>
                <w:kern w:val="2"/>
                <w:sz w:val="24"/>
              </w:rPr>
              <w:t>3</w:t>
            </w:r>
            <w:r>
              <w:rPr>
                <w:rFonts w:hint="eastAsia" w:ascii="Times New Roman" w:eastAsia="方正楷体_GBK"/>
                <w:kern w:val="2"/>
                <w:sz w:val="24"/>
              </w:rPr>
              <w:t>）挥发性有机物</w:t>
            </w:r>
          </w:p>
        </w:tc>
        <w:tc>
          <w:tcPr>
            <w:tcW w:w="1981" w:type="dxa"/>
            <w:vMerge w:val="continue"/>
            <w:vAlign w:val="center"/>
          </w:tcPr>
          <w:p>
            <w:pPr>
              <w:overflowPunct w:val="0"/>
              <w:spacing w:before="260" w:after="260" w:line="300" w:lineRule="exact"/>
              <w:jc w:val="center"/>
              <w:rPr>
                <w:rFonts w:ascii="Times New Roman" w:eastAsia="方正楷体_GBK"/>
                <w:kern w:val="2"/>
                <w:sz w:val="24"/>
              </w:rPr>
            </w:pPr>
          </w:p>
        </w:tc>
        <w:tc>
          <w:tcPr>
            <w:tcW w:w="1999" w:type="dxa"/>
            <w:vMerge w:val="continue"/>
            <w:vAlign w:val="center"/>
          </w:tcPr>
          <w:p>
            <w:pPr>
              <w:overflowPunct w:val="0"/>
              <w:spacing w:before="260" w:after="260" w:line="300" w:lineRule="exact"/>
              <w:jc w:val="center"/>
              <w:rPr>
                <w:rFonts w:ascii="Times New Roman" w:eastAsia="方正楷体_GBK"/>
                <w:kern w:val="2"/>
                <w:sz w:val="24"/>
              </w:rPr>
            </w:pPr>
          </w:p>
        </w:tc>
        <w:tc>
          <w:tcPr>
            <w:tcW w:w="1933" w:type="dxa"/>
            <w:vMerge w:val="continue"/>
            <w:vAlign w:val="center"/>
          </w:tcPr>
          <w:p>
            <w:pPr>
              <w:overflowPunct w:val="0"/>
              <w:spacing w:before="260" w:after="260" w:line="300" w:lineRule="exact"/>
              <w:jc w:val="center"/>
              <w:rPr>
                <w:rFonts w:ascii="Times New Roman" w:eastAsia="方正楷体_GBK"/>
                <w:kern w:val="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vMerge w:val="continue"/>
            <w:noWrap/>
            <w:vAlign w:val="center"/>
          </w:tcPr>
          <w:p>
            <w:pPr>
              <w:overflowPunct w:val="0"/>
              <w:spacing w:before="260" w:after="260" w:line="300" w:lineRule="exact"/>
              <w:jc w:val="center"/>
              <w:rPr>
                <w:rFonts w:ascii="Times New Roman" w:eastAsia="方正楷体_GBK"/>
                <w:kern w:val="2"/>
                <w:sz w:val="24"/>
              </w:rPr>
            </w:pPr>
          </w:p>
        </w:tc>
        <w:tc>
          <w:tcPr>
            <w:tcW w:w="2293" w:type="dxa"/>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w:t>
            </w:r>
            <w:r>
              <w:rPr>
                <w:rFonts w:ascii="Times New Roman" w:eastAsia="方正楷体_GBK"/>
                <w:kern w:val="2"/>
                <w:sz w:val="24"/>
              </w:rPr>
              <w:t>4</w:t>
            </w:r>
            <w:r>
              <w:rPr>
                <w:rFonts w:hint="eastAsia" w:ascii="Times New Roman" w:eastAsia="方正楷体_GBK"/>
                <w:kern w:val="2"/>
                <w:sz w:val="24"/>
              </w:rPr>
              <w:t>）氮氧化物</w:t>
            </w:r>
          </w:p>
        </w:tc>
        <w:tc>
          <w:tcPr>
            <w:tcW w:w="1981" w:type="dxa"/>
            <w:vMerge w:val="continue"/>
            <w:vAlign w:val="center"/>
          </w:tcPr>
          <w:p>
            <w:pPr>
              <w:overflowPunct w:val="0"/>
              <w:spacing w:before="260" w:after="260" w:line="300" w:lineRule="exact"/>
              <w:jc w:val="center"/>
              <w:rPr>
                <w:rFonts w:ascii="Times New Roman" w:eastAsia="方正楷体_GBK"/>
                <w:kern w:val="2"/>
                <w:sz w:val="24"/>
              </w:rPr>
            </w:pPr>
          </w:p>
        </w:tc>
        <w:tc>
          <w:tcPr>
            <w:tcW w:w="1999" w:type="dxa"/>
            <w:vMerge w:val="continue"/>
            <w:vAlign w:val="center"/>
          </w:tcPr>
          <w:p>
            <w:pPr>
              <w:overflowPunct w:val="0"/>
              <w:spacing w:before="260" w:after="260" w:line="300" w:lineRule="exact"/>
              <w:jc w:val="center"/>
              <w:rPr>
                <w:rFonts w:ascii="Times New Roman" w:eastAsia="方正楷体_GBK"/>
                <w:kern w:val="2"/>
                <w:sz w:val="24"/>
              </w:rPr>
            </w:pPr>
          </w:p>
        </w:tc>
        <w:tc>
          <w:tcPr>
            <w:tcW w:w="1933" w:type="dxa"/>
            <w:vMerge w:val="continue"/>
            <w:vAlign w:val="center"/>
          </w:tcPr>
          <w:p>
            <w:pPr>
              <w:overflowPunct w:val="0"/>
              <w:spacing w:before="260" w:after="260" w:line="300" w:lineRule="exact"/>
              <w:jc w:val="center"/>
              <w:rPr>
                <w:rFonts w:ascii="Times New Roman" w:eastAsia="方正楷体_GBK"/>
                <w:kern w:val="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5" w:type="dxa"/>
            <w:noWrap/>
            <w:vAlign w:val="center"/>
          </w:tcPr>
          <w:p>
            <w:pPr>
              <w:overflowPunct w:val="0"/>
              <w:spacing w:line="300" w:lineRule="exact"/>
              <w:jc w:val="center"/>
              <w:rPr>
                <w:rFonts w:ascii="Times New Roman" w:eastAsia="方正楷体_GBK"/>
                <w:kern w:val="2"/>
                <w:sz w:val="24"/>
              </w:rPr>
            </w:pPr>
            <w:r>
              <w:rPr>
                <w:rFonts w:ascii="Times New Roman" w:eastAsia="方正楷体_GBK"/>
                <w:kern w:val="2"/>
                <w:sz w:val="24"/>
              </w:rPr>
              <w:t>13</w:t>
            </w:r>
          </w:p>
        </w:tc>
        <w:tc>
          <w:tcPr>
            <w:tcW w:w="2293" w:type="dxa"/>
            <w:vAlign w:val="center"/>
          </w:tcPr>
          <w:p>
            <w:pPr>
              <w:overflowPunct w:val="0"/>
              <w:spacing w:line="300" w:lineRule="exact"/>
              <w:rPr>
                <w:rFonts w:ascii="Times New Roman" w:eastAsia="方正楷体_GBK"/>
                <w:kern w:val="2"/>
                <w:sz w:val="24"/>
              </w:rPr>
            </w:pPr>
            <w:r>
              <w:rPr>
                <w:rFonts w:hint="eastAsia" w:ascii="Times New Roman" w:eastAsia="方正楷体_GBK"/>
                <w:kern w:val="2"/>
                <w:sz w:val="24"/>
              </w:rPr>
              <w:t>PM</w:t>
            </w:r>
            <w:r>
              <w:rPr>
                <w:rFonts w:hint="eastAsia" w:ascii="Times New Roman" w:eastAsia="方正楷体_GBK"/>
                <w:kern w:val="2"/>
                <w:sz w:val="24"/>
                <w:vertAlign w:val="subscript"/>
              </w:rPr>
              <w:t>2.5</w:t>
            </w:r>
            <w:r>
              <w:rPr>
                <w:rFonts w:hint="eastAsia" w:ascii="Times New Roman" w:eastAsia="方正楷体_GBK"/>
                <w:kern w:val="2"/>
                <w:sz w:val="24"/>
              </w:rPr>
              <w:t>年均浓度、空气质量优良天数比率、地表水达到或好于Ⅲ类水体比例</w:t>
            </w:r>
          </w:p>
        </w:tc>
        <w:tc>
          <w:tcPr>
            <w:tcW w:w="1981"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完成上级下达的</w:t>
            </w:r>
          </w:p>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目标任务</w:t>
            </w:r>
          </w:p>
        </w:tc>
        <w:tc>
          <w:tcPr>
            <w:tcW w:w="1999"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31.9微克/立方米、80.3%、100%</w:t>
            </w:r>
          </w:p>
        </w:tc>
        <w:tc>
          <w:tcPr>
            <w:tcW w:w="1933" w:type="dxa"/>
            <w:vAlign w:val="center"/>
          </w:tcPr>
          <w:p>
            <w:pPr>
              <w:overflowPunct w:val="0"/>
              <w:spacing w:line="300" w:lineRule="exact"/>
              <w:jc w:val="center"/>
              <w:rPr>
                <w:rFonts w:ascii="Times New Roman" w:eastAsia="方正楷体_GBK"/>
                <w:kern w:val="2"/>
                <w:sz w:val="24"/>
              </w:rPr>
            </w:pPr>
            <w:r>
              <w:rPr>
                <w:rFonts w:hint="eastAsia" w:ascii="Times New Roman" w:eastAsia="方正楷体_GBK"/>
                <w:kern w:val="2"/>
                <w:sz w:val="24"/>
              </w:rPr>
              <w:t>完成上级下达的目标任务</w:t>
            </w:r>
          </w:p>
        </w:tc>
      </w:tr>
    </w:tbl>
    <w:p>
      <w:pPr>
        <w:widowControl/>
        <w:jc w:val="left"/>
        <w:rPr>
          <w:rFonts w:ascii="Times New Roman" w:eastAsia="方正黑体_GBK"/>
          <w:kern w:val="2"/>
        </w:rPr>
      </w:pPr>
      <w:r>
        <w:rPr>
          <w:rFonts w:ascii="Times New Roman" w:eastAsia="方正黑体_GBK"/>
          <w:kern w:val="2"/>
        </w:rPr>
        <w:br w:type="page"/>
      </w:r>
      <w:r>
        <w:rPr>
          <w:rFonts w:hint="eastAsia" w:ascii="Times New Roman" w:eastAsia="方正黑体_GBK"/>
          <w:kern w:val="2"/>
        </w:rPr>
        <w:t>附件2</w:t>
      </w:r>
    </w:p>
    <w:p>
      <w:pPr>
        <w:pStyle w:val="23"/>
        <w:overflowPunct w:val="0"/>
        <w:autoSpaceDE/>
        <w:autoSpaceDN/>
        <w:spacing w:before="0"/>
        <w:ind w:left="0"/>
        <w:jc w:val="center"/>
        <w:rPr>
          <w:rFonts w:ascii="Times New Roman" w:hAnsi="Times New Roman"/>
          <w:kern w:val="2"/>
          <w:lang w:eastAsia="zh-CN"/>
        </w:rPr>
      </w:pPr>
      <w:r>
        <w:rPr>
          <w:rFonts w:hint="eastAsia" w:ascii="Times New Roman" w:hAnsi="Times New Roman"/>
          <w:kern w:val="2"/>
          <w:lang w:eastAsia="zh-CN"/>
        </w:rPr>
        <w:t>江阴市2024年保障性安居房建设工程项目表</w:t>
      </w:r>
    </w:p>
    <w:tbl>
      <w:tblPr>
        <w:tblStyle w:val="22"/>
        <w:tblW w:w="4993"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689"/>
        <w:gridCol w:w="1175"/>
        <w:gridCol w:w="2392"/>
        <w:gridCol w:w="2921"/>
        <w:gridCol w:w="148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tblHeader/>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黑体_GBK" w:cs="宋体"/>
                <w:kern w:val="2"/>
                <w:sz w:val="24"/>
                <w:szCs w:val="24"/>
              </w:rPr>
            </w:pPr>
            <w:r>
              <w:rPr>
                <w:rFonts w:hint="eastAsia" w:ascii="Times New Roman" w:hAnsi="Times New Roman" w:eastAsia="方正黑体_GBK" w:cs="宋体"/>
                <w:kern w:val="2"/>
                <w:sz w:val="24"/>
                <w:szCs w:val="24"/>
              </w:rPr>
              <w:t>序号</w:t>
            </w:r>
          </w:p>
        </w:tc>
        <w:tc>
          <w:tcPr>
            <w:tcW w:w="678" w:type="pct"/>
            <w:tcMar>
              <w:left w:w="113" w:type="dxa"/>
              <w:right w:w="113" w:type="dxa"/>
            </w:tcMar>
            <w:vAlign w:val="center"/>
          </w:tcPr>
          <w:p>
            <w:pPr>
              <w:pStyle w:val="24"/>
              <w:overflowPunct w:val="0"/>
              <w:autoSpaceDE/>
              <w:autoSpaceDN/>
              <w:spacing w:line="300" w:lineRule="exact"/>
              <w:jc w:val="center"/>
              <w:rPr>
                <w:rFonts w:ascii="Times New Roman" w:hAnsi="Times New Roman" w:eastAsia="方正黑体_GBK" w:cs="宋体"/>
                <w:kern w:val="2"/>
                <w:sz w:val="24"/>
                <w:szCs w:val="24"/>
              </w:rPr>
            </w:pPr>
            <w:r>
              <w:rPr>
                <w:rFonts w:hint="eastAsia" w:ascii="Times New Roman" w:hAnsi="Times New Roman" w:eastAsia="方正黑体_GBK" w:cs="宋体"/>
                <w:kern w:val="2"/>
                <w:sz w:val="24"/>
                <w:szCs w:val="24"/>
                <w:lang w:eastAsia="zh-CN"/>
              </w:rPr>
              <w:t>板块</w:t>
            </w:r>
          </w:p>
        </w:tc>
        <w:tc>
          <w:tcPr>
            <w:tcW w:w="1381"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黑体_GBK" w:cs="宋体"/>
                <w:kern w:val="2"/>
                <w:sz w:val="24"/>
                <w:szCs w:val="24"/>
              </w:rPr>
            </w:pPr>
            <w:r>
              <w:rPr>
                <w:rFonts w:hint="eastAsia" w:ascii="Times New Roman" w:hAnsi="Times New Roman" w:eastAsia="方正黑体_GBK" w:cs="宋体"/>
                <w:kern w:val="2"/>
                <w:sz w:val="24"/>
                <w:szCs w:val="24"/>
              </w:rPr>
              <w:t>项目</w:t>
            </w:r>
            <w:r>
              <w:rPr>
                <w:rFonts w:hint="eastAsia" w:ascii="Times New Roman" w:hAnsi="Times New Roman" w:eastAsia="方正黑体_GBK" w:cs="宋体"/>
                <w:kern w:val="2"/>
                <w:sz w:val="24"/>
                <w:szCs w:val="24"/>
                <w:lang w:eastAsia="zh-CN"/>
              </w:rPr>
              <w:t>或地块</w:t>
            </w:r>
            <w:r>
              <w:rPr>
                <w:rFonts w:hint="eastAsia" w:ascii="Times New Roman" w:hAnsi="Times New Roman" w:eastAsia="方正黑体_GBK" w:cs="宋体"/>
                <w:kern w:val="2"/>
                <w:sz w:val="24"/>
                <w:szCs w:val="24"/>
              </w:rPr>
              <w:t>名称</w:t>
            </w:r>
          </w:p>
        </w:tc>
        <w:tc>
          <w:tcPr>
            <w:tcW w:w="1686"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黑体_GBK" w:cs="宋体"/>
                <w:kern w:val="2"/>
                <w:sz w:val="24"/>
                <w:szCs w:val="24"/>
              </w:rPr>
            </w:pPr>
            <w:r>
              <w:rPr>
                <w:rFonts w:hint="eastAsia" w:ascii="Times New Roman" w:hAnsi="Times New Roman" w:eastAsia="方正黑体_GBK" w:cs="宋体"/>
                <w:kern w:val="2"/>
                <w:sz w:val="24"/>
                <w:szCs w:val="24"/>
              </w:rPr>
              <w:t>四至范围及面积</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黑体_GBK" w:cs="宋体"/>
                <w:kern w:val="2"/>
                <w:sz w:val="24"/>
                <w:szCs w:val="24"/>
                <w:lang w:eastAsia="zh-CN"/>
              </w:rPr>
            </w:pPr>
            <w:r>
              <w:rPr>
                <w:rFonts w:hint="eastAsia" w:ascii="Times New Roman" w:hAnsi="Times New Roman" w:eastAsia="方正黑体_GBK" w:cs="宋体"/>
                <w:kern w:val="2"/>
                <w:sz w:val="24"/>
                <w:szCs w:val="24"/>
                <w:lang w:eastAsia="zh-CN"/>
              </w:rPr>
              <w:t>面积（公顷）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1</w:t>
            </w:r>
          </w:p>
        </w:tc>
        <w:tc>
          <w:tcPr>
            <w:tcW w:w="678" w:type="pct"/>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rPr>
            </w:pPr>
            <w:r>
              <w:rPr>
                <w:rFonts w:hint="eastAsia" w:ascii="Times New Roman" w:hAnsi="Times New Roman" w:eastAsia="方正楷体_GBK" w:cs="仿宋"/>
                <w:kern w:val="2"/>
                <w:sz w:val="24"/>
                <w:szCs w:val="24"/>
                <w:lang w:eastAsia="zh-CN"/>
              </w:rPr>
              <w:t>高新区</w:t>
            </w:r>
          </w:p>
        </w:tc>
        <w:tc>
          <w:tcPr>
            <w:tcW w:w="1381" w:type="pct"/>
            <w:shd w:val="clear" w:color="auto" w:fill="auto"/>
            <w:tcMar>
              <w:left w:w="113" w:type="dxa"/>
              <w:right w:w="113" w:type="dxa"/>
            </w:tcMar>
            <w:vAlign w:val="center"/>
          </w:tcPr>
          <w:p>
            <w:pPr>
              <w:widowControl/>
              <w:spacing w:line="300" w:lineRule="exact"/>
              <w:textAlignment w:val="center"/>
              <w:rPr>
                <w:rFonts w:ascii="Times New Roman" w:eastAsia="方正楷体_GBK" w:cs="仿宋"/>
                <w:kern w:val="2"/>
                <w:sz w:val="24"/>
                <w:szCs w:val="24"/>
                <w:lang w:bidi="en-US"/>
              </w:rPr>
            </w:pPr>
            <w:r>
              <w:rPr>
                <w:rFonts w:hint="eastAsia" w:ascii="Times New Roman" w:eastAsia="方正楷体_GBK" w:cs="仿宋"/>
                <w:kern w:val="2"/>
                <w:sz w:val="24"/>
                <w:szCs w:val="24"/>
                <w:lang w:bidi="en-US"/>
              </w:rPr>
              <w:t>东横河南侧保障性住房项目</w:t>
            </w:r>
          </w:p>
        </w:tc>
        <w:tc>
          <w:tcPr>
            <w:tcW w:w="1686" w:type="pct"/>
            <w:shd w:val="clear" w:color="auto" w:fill="auto"/>
            <w:tcMar>
              <w:left w:w="113" w:type="dxa"/>
              <w:right w:w="113" w:type="dxa"/>
            </w:tcMar>
            <w:vAlign w:val="center"/>
          </w:tcPr>
          <w:p>
            <w:pPr>
              <w:widowControl/>
              <w:spacing w:line="300" w:lineRule="exact"/>
              <w:textAlignment w:val="center"/>
              <w:rPr>
                <w:rFonts w:ascii="Times New Roman" w:eastAsia="方正楷体_GBK" w:cs="仿宋"/>
                <w:kern w:val="2"/>
                <w:sz w:val="24"/>
                <w:szCs w:val="24"/>
                <w:lang w:bidi="en-US"/>
              </w:rPr>
            </w:pPr>
            <w:r>
              <w:rPr>
                <w:rFonts w:hint="eastAsia" w:ascii="Times New Roman" w:eastAsia="方正楷体_GBK" w:cs="仿宋"/>
                <w:kern w:val="2"/>
                <w:sz w:val="24"/>
                <w:szCs w:val="24"/>
                <w:lang w:bidi="en-US"/>
              </w:rPr>
              <w:t>大寨河东、东横河南、许姚路西、规划道路北</w:t>
            </w:r>
          </w:p>
        </w:tc>
        <w:tc>
          <w:tcPr>
            <w:tcW w:w="857" w:type="pct"/>
            <w:shd w:val="clear" w:color="auto" w:fill="auto"/>
            <w:tcMar>
              <w:left w:w="113" w:type="dxa"/>
              <w:right w:w="113" w:type="dxa"/>
            </w:tcMar>
            <w:vAlign w:val="center"/>
          </w:tcPr>
          <w:p>
            <w:pPr>
              <w:widowControl/>
              <w:spacing w:line="300" w:lineRule="exact"/>
              <w:jc w:val="center"/>
              <w:textAlignment w:val="center"/>
              <w:rPr>
                <w:rFonts w:ascii="Times New Roman" w:eastAsia="方正楷体_GBK" w:cs="仿宋"/>
                <w:kern w:val="2"/>
                <w:sz w:val="24"/>
                <w:szCs w:val="24"/>
                <w:lang w:eastAsia="en-US" w:bidi="en-US"/>
              </w:rPr>
            </w:pPr>
            <w:r>
              <w:rPr>
                <w:rFonts w:hint="eastAsia" w:ascii="Times New Roman" w:eastAsia="方正楷体_GBK" w:cs="仿宋"/>
                <w:kern w:val="2"/>
                <w:sz w:val="24"/>
                <w:szCs w:val="24"/>
                <w:lang w:bidi="en-US"/>
              </w:rPr>
              <w:t>8</w:t>
            </w:r>
            <w:r>
              <w:rPr>
                <w:rFonts w:ascii="Times New Roman" w:eastAsia="方正楷体_GBK" w:cs="仿宋"/>
                <w:kern w:val="2"/>
                <w:sz w:val="24"/>
                <w:szCs w:val="24"/>
                <w:lang w:bidi="en-US"/>
              </w:rPr>
              <w:t>.331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2</w:t>
            </w:r>
          </w:p>
        </w:tc>
        <w:tc>
          <w:tcPr>
            <w:tcW w:w="678" w:type="pct"/>
            <w:vMerge w:val="restart"/>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rPr>
            </w:pPr>
            <w:r>
              <w:rPr>
                <w:rFonts w:hint="eastAsia" w:ascii="Times New Roman" w:hAnsi="Times New Roman" w:eastAsia="方正楷体_GBK" w:cs="仿宋"/>
                <w:kern w:val="2"/>
                <w:sz w:val="24"/>
                <w:szCs w:val="24"/>
              </w:rPr>
              <w:t>云亭街道</w:t>
            </w:r>
          </w:p>
        </w:tc>
        <w:tc>
          <w:tcPr>
            <w:tcW w:w="1381" w:type="pct"/>
            <w:shd w:val="clear" w:color="auto" w:fill="auto"/>
            <w:tcMar>
              <w:left w:w="113" w:type="dxa"/>
              <w:right w:w="113" w:type="dxa"/>
            </w:tcMar>
            <w:vAlign w:val="center"/>
          </w:tcPr>
          <w:p>
            <w:pPr>
              <w:widowControl/>
              <w:spacing w:line="300" w:lineRule="exact"/>
              <w:textAlignment w:val="center"/>
              <w:rPr>
                <w:rFonts w:ascii="Times New Roman" w:eastAsia="方正楷体_GBK" w:cs="仿宋"/>
                <w:kern w:val="2"/>
                <w:sz w:val="24"/>
                <w:szCs w:val="24"/>
                <w:lang w:bidi="en-US"/>
              </w:rPr>
            </w:pPr>
            <w:r>
              <w:rPr>
                <w:rFonts w:hint="eastAsia" w:ascii="Times New Roman" w:eastAsia="方正楷体_GBK" w:cs="仿宋"/>
                <w:kern w:val="2"/>
                <w:sz w:val="24"/>
                <w:szCs w:val="24"/>
                <w:lang w:bidi="en-US"/>
              </w:rPr>
              <w:t>云亭街道国土所西侧B地块</w:t>
            </w:r>
          </w:p>
        </w:tc>
        <w:tc>
          <w:tcPr>
            <w:tcW w:w="1686" w:type="pct"/>
            <w:shd w:val="clear" w:color="auto" w:fill="auto"/>
            <w:tcMar>
              <w:left w:w="113" w:type="dxa"/>
              <w:right w:w="113" w:type="dxa"/>
            </w:tcMar>
            <w:vAlign w:val="center"/>
          </w:tcPr>
          <w:p>
            <w:pPr>
              <w:widowControl/>
              <w:spacing w:line="300" w:lineRule="exact"/>
              <w:textAlignment w:val="center"/>
              <w:rPr>
                <w:rFonts w:ascii="Times New Roman" w:eastAsia="方正楷体_GBK" w:cs="仿宋"/>
                <w:kern w:val="2"/>
                <w:sz w:val="24"/>
                <w:szCs w:val="24"/>
                <w:lang w:eastAsia="en-US" w:bidi="en-US"/>
              </w:rPr>
            </w:pPr>
            <w:r>
              <w:rPr>
                <w:rFonts w:hint="eastAsia" w:ascii="Times New Roman" w:eastAsia="方正楷体_GBK" w:cs="仿宋"/>
                <w:kern w:val="2"/>
                <w:sz w:val="24"/>
                <w:szCs w:val="24"/>
                <w:lang w:eastAsia="en-US" w:bidi="en-US"/>
              </w:rPr>
              <w:t>新伍路东、云南路北</w:t>
            </w:r>
          </w:p>
        </w:tc>
        <w:tc>
          <w:tcPr>
            <w:tcW w:w="857" w:type="pct"/>
            <w:shd w:val="clear" w:color="auto" w:fill="auto"/>
            <w:tcMar>
              <w:left w:w="113" w:type="dxa"/>
              <w:right w:w="113" w:type="dxa"/>
            </w:tcMar>
            <w:vAlign w:val="center"/>
          </w:tcPr>
          <w:p>
            <w:pPr>
              <w:widowControl/>
              <w:spacing w:line="300" w:lineRule="exact"/>
              <w:jc w:val="center"/>
              <w:textAlignment w:val="center"/>
              <w:rPr>
                <w:rFonts w:ascii="Times New Roman" w:eastAsia="方正楷体_GBK" w:cs="仿宋"/>
                <w:kern w:val="2"/>
                <w:sz w:val="24"/>
                <w:szCs w:val="24"/>
                <w:lang w:eastAsia="en-US" w:bidi="en-US"/>
              </w:rPr>
            </w:pPr>
            <w:r>
              <w:rPr>
                <w:rFonts w:hint="eastAsia" w:ascii="Times New Roman" w:eastAsia="方正楷体_GBK" w:cs="仿宋"/>
                <w:kern w:val="2"/>
                <w:sz w:val="24"/>
                <w:szCs w:val="24"/>
                <w:lang w:eastAsia="en-US" w:bidi="en-US"/>
              </w:rPr>
              <w:t>5.7736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3</w:t>
            </w:r>
          </w:p>
        </w:tc>
        <w:tc>
          <w:tcPr>
            <w:tcW w:w="678" w:type="pct"/>
            <w:vMerge w:val="continue"/>
            <w:tcMar>
              <w:left w:w="113" w:type="dxa"/>
              <w:right w:w="113" w:type="dxa"/>
            </w:tcMar>
            <w:vAlign w:val="center"/>
          </w:tcPr>
          <w:p>
            <w:pPr>
              <w:pStyle w:val="24"/>
              <w:overflowPunct w:val="0"/>
              <w:autoSpaceDE/>
              <w:autoSpaceDN/>
              <w:spacing w:line="300" w:lineRule="exact"/>
              <w:rPr>
                <w:rFonts w:ascii="Times New Roman" w:hAnsi="Times New Roman" w:eastAsia="方正楷体_GBK" w:cs="仿宋"/>
                <w:kern w:val="2"/>
                <w:sz w:val="24"/>
                <w:szCs w:val="24"/>
                <w:lang w:eastAsia="zh-CN"/>
              </w:rPr>
            </w:pPr>
          </w:p>
        </w:tc>
        <w:tc>
          <w:tcPr>
            <w:tcW w:w="1381" w:type="pct"/>
            <w:shd w:val="clear" w:color="auto" w:fill="auto"/>
            <w:tcMar>
              <w:left w:w="113" w:type="dxa"/>
              <w:right w:w="113" w:type="dxa"/>
            </w:tcMar>
            <w:vAlign w:val="center"/>
          </w:tcPr>
          <w:p>
            <w:pPr>
              <w:widowControl/>
              <w:spacing w:line="300" w:lineRule="exact"/>
              <w:textAlignment w:val="center"/>
              <w:rPr>
                <w:rFonts w:ascii="Times New Roman" w:eastAsia="方正楷体_GBK" w:cs="仿宋"/>
                <w:kern w:val="2"/>
                <w:sz w:val="24"/>
                <w:szCs w:val="24"/>
                <w:lang w:bidi="en-US"/>
              </w:rPr>
            </w:pPr>
            <w:r>
              <w:rPr>
                <w:rFonts w:hint="eastAsia" w:ascii="Times New Roman" w:eastAsia="方正楷体_GBK" w:cs="仿宋"/>
                <w:kern w:val="2"/>
                <w:sz w:val="24"/>
                <w:szCs w:val="24"/>
                <w:lang w:bidi="en-US"/>
              </w:rPr>
              <w:t>云亭街道绿城东苑北侧</w:t>
            </w:r>
          </w:p>
        </w:tc>
        <w:tc>
          <w:tcPr>
            <w:tcW w:w="1686" w:type="pct"/>
            <w:shd w:val="clear" w:color="auto" w:fill="auto"/>
            <w:tcMar>
              <w:left w:w="113" w:type="dxa"/>
              <w:right w:w="113" w:type="dxa"/>
            </w:tcMar>
            <w:vAlign w:val="center"/>
          </w:tcPr>
          <w:p>
            <w:pPr>
              <w:widowControl/>
              <w:spacing w:line="300" w:lineRule="exact"/>
              <w:textAlignment w:val="center"/>
              <w:rPr>
                <w:rFonts w:ascii="Times New Roman" w:eastAsia="方正楷体_GBK" w:cs="仿宋"/>
                <w:kern w:val="2"/>
                <w:sz w:val="24"/>
                <w:szCs w:val="24"/>
                <w:lang w:bidi="en-US"/>
              </w:rPr>
            </w:pPr>
            <w:r>
              <w:rPr>
                <w:rFonts w:hint="eastAsia" w:ascii="Times New Roman" w:eastAsia="方正楷体_GBK" w:cs="仿宋"/>
                <w:kern w:val="2"/>
                <w:sz w:val="24"/>
                <w:szCs w:val="24"/>
                <w:lang w:bidi="en-US"/>
              </w:rPr>
              <w:t>应天河南、季庄路西、绿城东苑北</w:t>
            </w:r>
          </w:p>
        </w:tc>
        <w:tc>
          <w:tcPr>
            <w:tcW w:w="857" w:type="pct"/>
            <w:shd w:val="clear" w:color="auto" w:fill="auto"/>
            <w:tcMar>
              <w:left w:w="113" w:type="dxa"/>
              <w:right w:w="113" w:type="dxa"/>
            </w:tcMar>
            <w:vAlign w:val="center"/>
          </w:tcPr>
          <w:p>
            <w:pPr>
              <w:widowControl/>
              <w:spacing w:line="300" w:lineRule="exact"/>
              <w:jc w:val="center"/>
              <w:textAlignment w:val="center"/>
              <w:rPr>
                <w:rFonts w:ascii="Times New Roman" w:eastAsia="方正楷体_GBK" w:cs="仿宋"/>
                <w:kern w:val="2"/>
                <w:sz w:val="24"/>
                <w:szCs w:val="24"/>
                <w:lang w:eastAsia="en-US" w:bidi="en-US"/>
              </w:rPr>
            </w:pPr>
            <w:r>
              <w:rPr>
                <w:rFonts w:hint="eastAsia" w:ascii="Times New Roman" w:eastAsia="方正楷体_GBK" w:cs="仿宋"/>
                <w:kern w:val="2"/>
                <w:sz w:val="24"/>
                <w:szCs w:val="24"/>
                <w:lang w:eastAsia="en-US" w:bidi="en-US"/>
              </w:rPr>
              <w:t>1.8355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4</w:t>
            </w:r>
          </w:p>
        </w:tc>
        <w:tc>
          <w:tcPr>
            <w:tcW w:w="678" w:type="pct"/>
            <w:vMerge w:val="restart"/>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青阳镇</w:t>
            </w:r>
          </w:p>
        </w:tc>
        <w:tc>
          <w:tcPr>
            <w:tcW w:w="1381"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朱家坝二期</w:t>
            </w:r>
          </w:p>
        </w:tc>
        <w:tc>
          <w:tcPr>
            <w:tcW w:w="1686"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钟秀路东、朱家坝一期南、迎秀路西、青璜路北</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1.6148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5</w:t>
            </w:r>
          </w:p>
        </w:tc>
        <w:tc>
          <w:tcPr>
            <w:tcW w:w="678" w:type="pct"/>
            <w:vMerge w:val="continue"/>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p>
        </w:tc>
        <w:tc>
          <w:tcPr>
            <w:tcW w:w="1381"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青东嘉苑二期</w:t>
            </w:r>
          </w:p>
        </w:tc>
        <w:tc>
          <w:tcPr>
            <w:tcW w:w="1686"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青东嘉苑东、迎秀路西、北环路北</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2.1875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6</w:t>
            </w:r>
          </w:p>
        </w:tc>
        <w:tc>
          <w:tcPr>
            <w:tcW w:w="678" w:type="pct"/>
            <w:vMerge w:val="continue"/>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p>
        </w:tc>
        <w:tc>
          <w:tcPr>
            <w:tcW w:w="1381"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毓秀园二期</w:t>
            </w:r>
          </w:p>
        </w:tc>
        <w:tc>
          <w:tcPr>
            <w:tcW w:w="1686"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文秀路东、北环路南、青璜路北</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4.54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7</w:t>
            </w:r>
          </w:p>
        </w:tc>
        <w:tc>
          <w:tcPr>
            <w:tcW w:w="678" w:type="pct"/>
            <w:vMerge w:val="restart"/>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徐霞客镇</w:t>
            </w:r>
          </w:p>
        </w:tc>
        <w:tc>
          <w:tcPr>
            <w:tcW w:w="1381"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姚家宕地块保障性住房工程</w:t>
            </w:r>
          </w:p>
        </w:tc>
        <w:tc>
          <w:tcPr>
            <w:tcW w:w="1686"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霞客大道东、霞栖苑南、虹影路西、规划道路北，建筑面积约9.6万平方米</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4.5733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8</w:t>
            </w:r>
          </w:p>
        </w:tc>
        <w:tc>
          <w:tcPr>
            <w:tcW w:w="678" w:type="pct"/>
            <w:vMerge w:val="continue"/>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p>
        </w:tc>
        <w:tc>
          <w:tcPr>
            <w:tcW w:w="1381"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顾家村地块保障性住房工程</w:t>
            </w:r>
          </w:p>
        </w:tc>
        <w:tc>
          <w:tcPr>
            <w:tcW w:w="1686"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凤栖苑东、规划道路南、湖西路西、凤凰东路北，建筑面积约5.8万平方米</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2.8229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9</w:t>
            </w:r>
          </w:p>
        </w:tc>
        <w:tc>
          <w:tcPr>
            <w:tcW w:w="678" w:type="pct"/>
            <w:vMerge w:val="continue"/>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p>
        </w:tc>
        <w:tc>
          <w:tcPr>
            <w:tcW w:w="1381"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东宏时装地块保障性住房工程</w:t>
            </w:r>
          </w:p>
        </w:tc>
        <w:tc>
          <w:tcPr>
            <w:tcW w:w="1686"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公园路东、人民路南、中山路西、规划路北，建筑面积约14万平方米</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7.5373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10</w:t>
            </w:r>
          </w:p>
        </w:tc>
        <w:tc>
          <w:tcPr>
            <w:tcW w:w="678" w:type="pct"/>
            <w:vMerge w:val="continue"/>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p>
        </w:tc>
        <w:tc>
          <w:tcPr>
            <w:tcW w:w="1381"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尚贤堂地块保障性住房工程</w:t>
            </w:r>
          </w:p>
        </w:tc>
        <w:tc>
          <w:tcPr>
            <w:tcW w:w="1686"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霞栖苑东、规划道路南、白屈港西、环镇北路北，建筑面积约5.5万平方米</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2.7308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11</w:t>
            </w:r>
          </w:p>
        </w:tc>
        <w:tc>
          <w:tcPr>
            <w:tcW w:w="678" w:type="pct"/>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周庄镇</w:t>
            </w:r>
          </w:p>
        </w:tc>
        <w:tc>
          <w:tcPr>
            <w:tcW w:w="1381"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滨河家园二期安置房</w:t>
            </w:r>
          </w:p>
        </w:tc>
        <w:tc>
          <w:tcPr>
            <w:tcW w:w="1686"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龙山东路以南、滨河路以西</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楷体_GB2312"/>
                <w:kern w:val="2"/>
                <w:sz w:val="24"/>
                <w:szCs w:val="24"/>
                <w:lang w:eastAsia="zh-CN"/>
              </w:rPr>
            </w:pPr>
            <w:r>
              <w:rPr>
                <w:rFonts w:hint="eastAsia" w:ascii="Times New Roman" w:hAnsi="Times New Roman" w:eastAsia="方正楷体_GBK"/>
                <w:kern w:val="2"/>
                <w:sz w:val="24"/>
                <w:szCs w:val="24"/>
                <w:lang w:eastAsia="zh-CN"/>
              </w:rPr>
              <w:t>1.63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12</w:t>
            </w:r>
          </w:p>
        </w:tc>
        <w:tc>
          <w:tcPr>
            <w:tcW w:w="678" w:type="pct"/>
            <w:vMerge w:val="restart"/>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新桥镇</w:t>
            </w:r>
          </w:p>
        </w:tc>
        <w:tc>
          <w:tcPr>
            <w:tcW w:w="1381"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新都苑二村六期</w:t>
            </w:r>
          </w:p>
        </w:tc>
        <w:tc>
          <w:tcPr>
            <w:tcW w:w="1686"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陶新南路东、新都苑一村南、康定路西侧</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1.0597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13</w:t>
            </w:r>
          </w:p>
        </w:tc>
        <w:tc>
          <w:tcPr>
            <w:tcW w:w="678" w:type="pct"/>
            <w:vMerge w:val="continue"/>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p>
        </w:tc>
        <w:tc>
          <w:tcPr>
            <w:tcW w:w="1381"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黄河一村六期</w:t>
            </w:r>
          </w:p>
        </w:tc>
        <w:tc>
          <w:tcPr>
            <w:tcW w:w="1686"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新郁中路北、文化中心西、西环路东侧</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0.7310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14</w:t>
            </w:r>
          </w:p>
        </w:tc>
        <w:tc>
          <w:tcPr>
            <w:tcW w:w="678" w:type="pct"/>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长泾镇</w:t>
            </w:r>
          </w:p>
        </w:tc>
        <w:tc>
          <w:tcPr>
            <w:tcW w:w="1381"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2024年保障性安居工程建设项目</w:t>
            </w:r>
          </w:p>
        </w:tc>
        <w:tc>
          <w:tcPr>
            <w:tcW w:w="1686"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长泾镇环南路南侧、礼新路西侧</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1.4256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98"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cs="仿宋"/>
                <w:kern w:val="2"/>
                <w:sz w:val="24"/>
                <w:szCs w:val="24"/>
                <w:lang w:eastAsia="zh-CN"/>
              </w:rPr>
            </w:pPr>
            <w:r>
              <w:rPr>
                <w:rFonts w:hint="eastAsia" w:ascii="Times New Roman" w:hAnsi="Times New Roman" w:eastAsia="方正楷体_GBK" w:cs="仿宋"/>
                <w:kern w:val="2"/>
                <w:sz w:val="24"/>
                <w:szCs w:val="24"/>
                <w:lang w:eastAsia="zh-CN"/>
              </w:rPr>
              <w:t>1</w:t>
            </w:r>
            <w:r>
              <w:rPr>
                <w:rFonts w:ascii="Times New Roman" w:hAnsi="Times New Roman" w:eastAsia="方正楷体_GBK" w:cs="仿宋"/>
                <w:kern w:val="2"/>
                <w:sz w:val="24"/>
                <w:szCs w:val="24"/>
                <w:lang w:eastAsia="zh-CN"/>
              </w:rPr>
              <w:t>5</w:t>
            </w:r>
          </w:p>
        </w:tc>
        <w:tc>
          <w:tcPr>
            <w:tcW w:w="678" w:type="pct"/>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祝塘镇</w:t>
            </w:r>
          </w:p>
        </w:tc>
        <w:tc>
          <w:tcPr>
            <w:tcW w:w="1381"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长山大道南延安置房</w:t>
            </w:r>
          </w:p>
        </w:tc>
        <w:tc>
          <w:tcPr>
            <w:tcW w:w="1686" w:type="pct"/>
            <w:shd w:val="clear" w:color="auto" w:fill="auto"/>
            <w:tcMar>
              <w:left w:w="113" w:type="dxa"/>
              <w:right w:w="113" w:type="dxa"/>
            </w:tcMar>
            <w:vAlign w:val="center"/>
          </w:tcPr>
          <w:p>
            <w:pPr>
              <w:pStyle w:val="24"/>
              <w:overflowPunct w:val="0"/>
              <w:autoSpaceDE/>
              <w:autoSpaceDN/>
              <w:spacing w:line="300" w:lineRule="exact"/>
              <w:jc w:val="both"/>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富阳南路东、人民路南、川桥浜西、南苑路被</w:t>
            </w:r>
          </w:p>
        </w:tc>
        <w:tc>
          <w:tcPr>
            <w:tcW w:w="857" w:type="pct"/>
            <w:shd w:val="clear" w:color="auto" w:fill="auto"/>
            <w:tcMar>
              <w:left w:w="113" w:type="dxa"/>
              <w:right w:w="113" w:type="dxa"/>
            </w:tcMar>
            <w:vAlign w:val="center"/>
          </w:tcPr>
          <w:p>
            <w:pPr>
              <w:pStyle w:val="24"/>
              <w:overflowPunct w:val="0"/>
              <w:autoSpaceDE/>
              <w:autoSpaceDN/>
              <w:spacing w:line="300" w:lineRule="exact"/>
              <w:jc w:val="center"/>
              <w:rPr>
                <w:rFonts w:ascii="Times New Roman" w:hAnsi="Times New Roman" w:eastAsia="方正楷体_GBK"/>
                <w:kern w:val="2"/>
                <w:sz w:val="24"/>
                <w:szCs w:val="24"/>
                <w:lang w:eastAsia="zh-CN"/>
              </w:rPr>
            </w:pPr>
            <w:r>
              <w:rPr>
                <w:rFonts w:hint="eastAsia" w:ascii="Times New Roman" w:hAnsi="Times New Roman" w:eastAsia="方正楷体_GBK"/>
                <w:kern w:val="2"/>
                <w:sz w:val="24"/>
                <w:szCs w:val="24"/>
                <w:lang w:eastAsia="zh-CN"/>
              </w:rPr>
              <w:t>2.034</w:t>
            </w:r>
          </w:p>
        </w:tc>
      </w:tr>
    </w:tbl>
    <w:p>
      <w:pPr>
        <w:overflowPunct w:val="0"/>
        <w:spacing w:line="20" w:lineRule="exact"/>
        <w:rPr>
          <w:rFonts w:ascii="Times New Roman"/>
          <w:kern w:val="2"/>
          <w:sz w:val="2"/>
          <w:szCs w:val="2"/>
        </w:rPr>
      </w:pPr>
    </w:p>
    <w:sectPr>
      <w:footerReference r:id="rId3" w:type="default"/>
      <w:pgSz w:w="11906" w:h="16838"/>
      <w:pgMar w:top="2041" w:right="1644" w:bottom="1418" w:left="1814" w:header="1134" w:footer="1418" w:gutter="0"/>
      <w:cols w:space="425" w:num="1"/>
      <w:docGrid w:type="linesAndChars" w:linePitch="581" w:charSpace="-375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napToGrid/>
      <w:jc w:val="center"/>
      <w:rPr>
        <w:rFonts w:ascii="宋体" w:hAnsi="宋体" w:eastAsia="宋体"/>
        <w:sz w:val="28"/>
        <w:szCs w:val="28"/>
      </w:rPr>
    </w:pPr>
    <w:r>
      <w:rPr>
        <w:rFonts w:hint="eastAsia" w:ascii="宋体" w:hAnsi="宋体" w:eastAsia="宋体"/>
        <w:sz w:val="28"/>
        <w:szCs w:val="28"/>
      </w:rPr>
      <w:t xml:space="preserve">— </w:t>
    </w:r>
    <w:r>
      <w:rPr>
        <w:rFonts w:ascii="Times New Roman" w:eastAsia="宋体"/>
        <w:sz w:val="28"/>
        <w:szCs w:val="28"/>
      </w:rPr>
      <w:fldChar w:fldCharType="begin"/>
    </w:r>
    <w:r>
      <w:rPr>
        <w:rFonts w:ascii="Times New Roman" w:eastAsia="宋体"/>
        <w:sz w:val="28"/>
        <w:szCs w:val="28"/>
      </w:rPr>
      <w:instrText xml:space="preserve"> PAGE   \* MERGEFORMAT </w:instrText>
    </w:r>
    <w:r>
      <w:rPr>
        <w:rFonts w:ascii="Times New Roman" w:eastAsia="宋体"/>
        <w:sz w:val="28"/>
        <w:szCs w:val="28"/>
      </w:rPr>
      <w:fldChar w:fldCharType="separate"/>
    </w:r>
    <w:r>
      <w:rPr>
        <w:rFonts w:ascii="Times New Roman" w:eastAsia="宋体"/>
        <w:sz w:val="28"/>
        <w:szCs w:val="28"/>
        <w:lang w:val="zh-CN"/>
      </w:rPr>
      <w:t>14</w:t>
    </w:r>
    <w:r>
      <w:rPr>
        <w:rFonts w:ascii="Times New Roman" w:eastAsia="宋体"/>
        <w:sz w:val="28"/>
        <w:szCs w:val="28"/>
      </w:rPr>
      <w:fldChar w:fldCharType="end"/>
    </w:r>
    <w:r>
      <w:rPr>
        <w:rFonts w:hint="eastAsia" w:ascii="Times New Roman" w:eastAsia="宋体"/>
        <w:sz w:val="28"/>
        <w:szCs w:val="28"/>
      </w:rPr>
      <w:t xml:space="preserve"> </w:t>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mirrorMargins w:val="1"/>
  <w:bordersDoNotSurroundHeader w:val="1"/>
  <w:bordersDoNotSurroundFooter w:val="1"/>
  <w:documentProtection w:enforcement="0"/>
  <w:defaultTabStop w:val="420"/>
  <w:drawingGridHorizontalSpacing w:val="151"/>
  <w:drawingGridVerticalSpacing w:val="5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FjOTEyMTA2YWEwOWM3NjhjNjE3MTExMGI4ZjViZTIifQ=="/>
  </w:docVars>
  <w:rsids>
    <w:rsidRoot w:val="00DF793D"/>
    <w:rsid w:val="00000770"/>
    <w:rsid w:val="00000959"/>
    <w:rsid w:val="000017E7"/>
    <w:rsid w:val="00001A77"/>
    <w:rsid w:val="00001E1F"/>
    <w:rsid w:val="00001FAF"/>
    <w:rsid w:val="000026DD"/>
    <w:rsid w:val="00002732"/>
    <w:rsid w:val="00002DDC"/>
    <w:rsid w:val="00003C40"/>
    <w:rsid w:val="000043E6"/>
    <w:rsid w:val="000047FC"/>
    <w:rsid w:val="00010010"/>
    <w:rsid w:val="00013CA0"/>
    <w:rsid w:val="00014695"/>
    <w:rsid w:val="00014B3C"/>
    <w:rsid w:val="0002126F"/>
    <w:rsid w:val="00021D2F"/>
    <w:rsid w:val="0002542D"/>
    <w:rsid w:val="000258A4"/>
    <w:rsid w:val="00025B01"/>
    <w:rsid w:val="00031CAB"/>
    <w:rsid w:val="00034D93"/>
    <w:rsid w:val="0003684E"/>
    <w:rsid w:val="000374FD"/>
    <w:rsid w:val="00041746"/>
    <w:rsid w:val="00043757"/>
    <w:rsid w:val="000448D2"/>
    <w:rsid w:val="00044946"/>
    <w:rsid w:val="0004542C"/>
    <w:rsid w:val="00045F5C"/>
    <w:rsid w:val="00046824"/>
    <w:rsid w:val="000468D6"/>
    <w:rsid w:val="0004740E"/>
    <w:rsid w:val="000478D9"/>
    <w:rsid w:val="000520E5"/>
    <w:rsid w:val="0005215D"/>
    <w:rsid w:val="000521FD"/>
    <w:rsid w:val="00052444"/>
    <w:rsid w:val="000534D6"/>
    <w:rsid w:val="00055016"/>
    <w:rsid w:val="000567C3"/>
    <w:rsid w:val="00056BBE"/>
    <w:rsid w:val="000575A3"/>
    <w:rsid w:val="00060F62"/>
    <w:rsid w:val="00062879"/>
    <w:rsid w:val="00063F89"/>
    <w:rsid w:val="000648AA"/>
    <w:rsid w:val="00072372"/>
    <w:rsid w:val="00072378"/>
    <w:rsid w:val="0007323B"/>
    <w:rsid w:val="000732FB"/>
    <w:rsid w:val="00074E9B"/>
    <w:rsid w:val="00075CB8"/>
    <w:rsid w:val="000819ED"/>
    <w:rsid w:val="00081B7A"/>
    <w:rsid w:val="00084643"/>
    <w:rsid w:val="00084D16"/>
    <w:rsid w:val="000850F4"/>
    <w:rsid w:val="000856C9"/>
    <w:rsid w:val="00091254"/>
    <w:rsid w:val="0009150A"/>
    <w:rsid w:val="000916BB"/>
    <w:rsid w:val="00093605"/>
    <w:rsid w:val="00094B93"/>
    <w:rsid w:val="00096E62"/>
    <w:rsid w:val="00097353"/>
    <w:rsid w:val="0009788D"/>
    <w:rsid w:val="00097A2C"/>
    <w:rsid w:val="00097DDC"/>
    <w:rsid w:val="000A12B3"/>
    <w:rsid w:val="000A2565"/>
    <w:rsid w:val="000A2892"/>
    <w:rsid w:val="000A5256"/>
    <w:rsid w:val="000A6931"/>
    <w:rsid w:val="000A6CE9"/>
    <w:rsid w:val="000A7356"/>
    <w:rsid w:val="000A7B14"/>
    <w:rsid w:val="000B03F2"/>
    <w:rsid w:val="000B0CC3"/>
    <w:rsid w:val="000B2160"/>
    <w:rsid w:val="000B2F6E"/>
    <w:rsid w:val="000B35DC"/>
    <w:rsid w:val="000B3DC5"/>
    <w:rsid w:val="000B436E"/>
    <w:rsid w:val="000B4A53"/>
    <w:rsid w:val="000B5167"/>
    <w:rsid w:val="000B54FD"/>
    <w:rsid w:val="000B58C9"/>
    <w:rsid w:val="000B5BB1"/>
    <w:rsid w:val="000B6B59"/>
    <w:rsid w:val="000B77A3"/>
    <w:rsid w:val="000C04C2"/>
    <w:rsid w:val="000C0D5D"/>
    <w:rsid w:val="000C108B"/>
    <w:rsid w:val="000C2D79"/>
    <w:rsid w:val="000C3417"/>
    <w:rsid w:val="000C3765"/>
    <w:rsid w:val="000C490A"/>
    <w:rsid w:val="000C57AD"/>
    <w:rsid w:val="000C6FAB"/>
    <w:rsid w:val="000D12C7"/>
    <w:rsid w:val="000D1AE0"/>
    <w:rsid w:val="000D1D31"/>
    <w:rsid w:val="000D22DA"/>
    <w:rsid w:val="000D38B5"/>
    <w:rsid w:val="000D4B2B"/>
    <w:rsid w:val="000D6BAF"/>
    <w:rsid w:val="000E08FC"/>
    <w:rsid w:val="000E12C7"/>
    <w:rsid w:val="000E1441"/>
    <w:rsid w:val="000E1B12"/>
    <w:rsid w:val="000E3343"/>
    <w:rsid w:val="000E3EED"/>
    <w:rsid w:val="000E49E1"/>
    <w:rsid w:val="000E52AD"/>
    <w:rsid w:val="000E6F2D"/>
    <w:rsid w:val="000F00B7"/>
    <w:rsid w:val="000F2061"/>
    <w:rsid w:val="000F26A2"/>
    <w:rsid w:val="000F3859"/>
    <w:rsid w:val="000F3DF0"/>
    <w:rsid w:val="000F6C84"/>
    <w:rsid w:val="000F7ADC"/>
    <w:rsid w:val="00100E43"/>
    <w:rsid w:val="00101615"/>
    <w:rsid w:val="00101F38"/>
    <w:rsid w:val="00101FFC"/>
    <w:rsid w:val="00102879"/>
    <w:rsid w:val="00102A10"/>
    <w:rsid w:val="00103B61"/>
    <w:rsid w:val="001040B5"/>
    <w:rsid w:val="00105AAA"/>
    <w:rsid w:val="00106864"/>
    <w:rsid w:val="00107EAC"/>
    <w:rsid w:val="001105EF"/>
    <w:rsid w:val="00111DA7"/>
    <w:rsid w:val="00112310"/>
    <w:rsid w:val="0011347E"/>
    <w:rsid w:val="001136EB"/>
    <w:rsid w:val="00114420"/>
    <w:rsid w:val="00114C73"/>
    <w:rsid w:val="00116210"/>
    <w:rsid w:val="001164F2"/>
    <w:rsid w:val="001170F0"/>
    <w:rsid w:val="00117256"/>
    <w:rsid w:val="00120239"/>
    <w:rsid w:val="00120439"/>
    <w:rsid w:val="001209CB"/>
    <w:rsid w:val="00121482"/>
    <w:rsid w:val="0012243D"/>
    <w:rsid w:val="001225CC"/>
    <w:rsid w:val="00123FC5"/>
    <w:rsid w:val="00125438"/>
    <w:rsid w:val="0012671D"/>
    <w:rsid w:val="00126FC3"/>
    <w:rsid w:val="001276F5"/>
    <w:rsid w:val="00127F59"/>
    <w:rsid w:val="00130089"/>
    <w:rsid w:val="00130491"/>
    <w:rsid w:val="001323A2"/>
    <w:rsid w:val="001323E6"/>
    <w:rsid w:val="00132CF6"/>
    <w:rsid w:val="0013480F"/>
    <w:rsid w:val="001351FC"/>
    <w:rsid w:val="00135960"/>
    <w:rsid w:val="00135C2D"/>
    <w:rsid w:val="00136148"/>
    <w:rsid w:val="0013666B"/>
    <w:rsid w:val="00137167"/>
    <w:rsid w:val="00141ABF"/>
    <w:rsid w:val="00141F51"/>
    <w:rsid w:val="001425E3"/>
    <w:rsid w:val="0014260C"/>
    <w:rsid w:val="001432F0"/>
    <w:rsid w:val="001444F2"/>
    <w:rsid w:val="00144AE8"/>
    <w:rsid w:val="00145B80"/>
    <w:rsid w:val="00147FDD"/>
    <w:rsid w:val="001511A8"/>
    <w:rsid w:val="00151364"/>
    <w:rsid w:val="001522CA"/>
    <w:rsid w:val="0015354C"/>
    <w:rsid w:val="00153ADB"/>
    <w:rsid w:val="0015426C"/>
    <w:rsid w:val="00155741"/>
    <w:rsid w:val="00156C86"/>
    <w:rsid w:val="00156E43"/>
    <w:rsid w:val="0016013E"/>
    <w:rsid w:val="00161944"/>
    <w:rsid w:val="00162C01"/>
    <w:rsid w:val="00163332"/>
    <w:rsid w:val="00163D72"/>
    <w:rsid w:val="001646E2"/>
    <w:rsid w:val="00165113"/>
    <w:rsid w:val="00165C87"/>
    <w:rsid w:val="00170667"/>
    <w:rsid w:val="00170D79"/>
    <w:rsid w:val="00172213"/>
    <w:rsid w:val="00172EF7"/>
    <w:rsid w:val="00174D6C"/>
    <w:rsid w:val="001766C8"/>
    <w:rsid w:val="00177883"/>
    <w:rsid w:val="00177AEB"/>
    <w:rsid w:val="001811A1"/>
    <w:rsid w:val="0018134F"/>
    <w:rsid w:val="001820E3"/>
    <w:rsid w:val="00182311"/>
    <w:rsid w:val="00185A5B"/>
    <w:rsid w:val="00185AB7"/>
    <w:rsid w:val="00185F25"/>
    <w:rsid w:val="00186846"/>
    <w:rsid w:val="001907A1"/>
    <w:rsid w:val="00193935"/>
    <w:rsid w:val="0019440D"/>
    <w:rsid w:val="00194684"/>
    <w:rsid w:val="001959A2"/>
    <w:rsid w:val="00196E63"/>
    <w:rsid w:val="001A0EF7"/>
    <w:rsid w:val="001A296F"/>
    <w:rsid w:val="001A4381"/>
    <w:rsid w:val="001A467B"/>
    <w:rsid w:val="001A4C40"/>
    <w:rsid w:val="001A4E17"/>
    <w:rsid w:val="001A5296"/>
    <w:rsid w:val="001A73B9"/>
    <w:rsid w:val="001A7825"/>
    <w:rsid w:val="001A7F0B"/>
    <w:rsid w:val="001B052F"/>
    <w:rsid w:val="001B12FA"/>
    <w:rsid w:val="001B1EFD"/>
    <w:rsid w:val="001B4190"/>
    <w:rsid w:val="001B6230"/>
    <w:rsid w:val="001B7570"/>
    <w:rsid w:val="001C1AD0"/>
    <w:rsid w:val="001C2C37"/>
    <w:rsid w:val="001C3EEB"/>
    <w:rsid w:val="001C5A9F"/>
    <w:rsid w:val="001C5FD7"/>
    <w:rsid w:val="001C7FB8"/>
    <w:rsid w:val="001D1516"/>
    <w:rsid w:val="001D3ABE"/>
    <w:rsid w:val="001D4D1E"/>
    <w:rsid w:val="001D6DB6"/>
    <w:rsid w:val="001D7205"/>
    <w:rsid w:val="001D79B9"/>
    <w:rsid w:val="001E0BEE"/>
    <w:rsid w:val="001E0DFE"/>
    <w:rsid w:val="001E2D63"/>
    <w:rsid w:val="001E31FA"/>
    <w:rsid w:val="001E35F2"/>
    <w:rsid w:val="001E3AD3"/>
    <w:rsid w:val="001E3F05"/>
    <w:rsid w:val="001E767E"/>
    <w:rsid w:val="001F0D3F"/>
    <w:rsid w:val="001F0D8D"/>
    <w:rsid w:val="001F1092"/>
    <w:rsid w:val="001F1F04"/>
    <w:rsid w:val="001F2753"/>
    <w:rsid w:val="001F3551"/>
    <w:rsid w:val="001F39E3"/>
    <w:rsid w:val="001F4218"/>
    <w:rsid w:val="001F48C0"/>
    <w:rsid w:val="001F506D"/>
    <w:rsid w:val="001F5EDD"/>
    <w:rsid w:val="001F76C8"/>
    <w:rsid w:val="0020135A"/>
    <w:rsid w:val="002013E5"/>
    <w:rsid w:val="002020C6"/>
    <w:rsid w:val="00202C5D"/>
    <w:rsid w:val="002042DF"/>
    <w:rsid w:val="00204511"/>
    <w:rsid w:val="00205037"/>
    <w:rsid w:val="00207542"/>
    <w:rsid w:val="00207DA8"/>
    <w:rsid w:val="00210B87"/>
    <w:rsid w:val="002110D1"/>
    <w:rsid w:val="00213002"/>
    <w:rsid w:val="002153A7"/>
    <w:rsid w:val="0021643F"/>
    <w:rsid w:val="00216C40"/>
    <w:rsid w:val="00217351"/>
    <w:rsid w:val="00217E22"/>
    <w:rsid w:val="002200E5"/>
    <w:rsid w:val="00220ABF"/>
    <w:rsid w:val="00221092"/>
    <w:rsid w:val="00221A35"/>
    <w:rsid w:val="00223A37"/>
    <w:rsid w:val="00223DB1"/>
    <w:rsid w:val="00223F6C"/>
    <w:rsid w:val="002242DE"/>
    <w:rsid w:val="00225965"/>
    <w:rsid w:val="002272EA"/>
    <w:rsid w:val="00233680"/>
    <w:rsid w:val="00235D97"/>
    <w:rsid w:val="00236767"/>
    <w:rsid w:val="002374E9"/>
    <w:rsid w:val="002377A3"/>
    <w:rsid w:val="00240E0A"/>
    <w:rsid w:val="002422AD"/>
    <w:rsid w:val="00242659"/>
    <w:rsid w:val="00242661"/>
    <w:rsid w:val="00243486"/>
    <w:rsid w:val="0024473F"/>
    <w:rsid w:val="00251A3A"/>
    <w:rsid w:val="00251C8B"/>
    <w:rsid w:val="00252930"/>
    <w:rsid w:val="00254576"/>
    <w:rsid w:val="00254D86"/>
    <w:rsid w:val="00255989"/>
    <w:rsid w:val="002562A8"/>
    <w:rsid w:val="00256391"/>
    <w:rsid w:val="002568A1"/>
    <w:rsid w:val="00257309"/>
    <w:rsid w:val="0025788E"/>
    <w:rsid w:val="0025794B"/>
    <w:rsid w:val="00260859"/>
    <w:rsid w:val="00260A93"/>
    <w:rsid w:val="00260D72"/>
    <w:rsid w:val="002618FE"/>
    <w:rsid w:val="00261E00"/>
    <w:rsid w:val="00262224"/>
    <w:rsid w:val="00262738"/>
    <w:rsid w:val="00264E63"/>
    <w:rsid w:val="00264EA5"/>
    <w:rsid w:val="0026611C"/>
    <w:rsid w:val="002662DE"/>
    <w:rsid w:val="0026693C"/>
    <w:rsid w:val="00267F69"/>
    <w:rsid w:val="002700B9"/>
    <w:rsid w:val="00274B32"/>
    <w:rsid w:val="00276006"/>
    <w:rsid w:val="00280742"/>
    <w:rsid w:val="00280818"/>
    <w:rsid w:val="00280CD9"/>
    <w:rsid w:val="00281DBA"/>
    <w:rsid w:val="00285058"/>
    <w:rsid w:val="002859B2"/>
    <w:rsid w:val="00286195"/>
    <w:rsid w:val="002861D3"/>
    <w:rsid w:val="00286C12"/>
    <w:rsid w:val="00291D38"/>
    <w:rsid w:val="002923CC"/>
    <w:rsid w:val="00292A30"/>
    <w:rsid w:val="00295C48"/>
    <w:rsid w:val="00297048"/>
    <w:rsid w:val="002A0123"/>
    <w:rsid w:val="002A1EB9"/>
    <w:rsid w:val="002A41F2"/>
    <w:rsid w:val="002A42CA"/>
    <w:rsid w:val="002A4DA4"/>
    <w:rsid w:val="002A5127"/>
    <w:rsid w:val="002B008B"/>
    <w:rsid w:val="002B070A"/>
    <w:rsid w:val="002B1720"/>
    <w:rsid w:val="002B1E53"/>
    <w:rsid w:val="002B271A"/>
    <w:rsid w:val="002B393C"/>
    <w:rsid w:val="002B4875"/>
    <w:rsid w:val="002B50B6"/>
    <w:rsid w:val="002B5C79"/>
    <w:rsid w:val="002B5E3B"/>
    <w:rsid w:val="002B6CF4"/>
    <w:rsid w:val="002B76F2"/>
    <w:rsid w:val="002C0148"/>
    <w:rsid w:val="002C284D"/>
    <w:rsid w:val="002C3DB3"/>
    <w:rsid w:val="002C46BD"/>
    <w:rsid w:val="002C500F"/>
    <w:rsid w:val="002C520A"/>
    <w:rsid w:val="002C765B"/>
    <w:rsid w:val="002C7C66"/>
    <w:rsid w:val="002C7E0E"/>
    <w:rsid w:val="002D01EA"/>
    <w:rsid w:val="002D0319"/>
    <w:rsid w:val="002D35B3"/>
    <w:rsid w:val="002D50DB"/>
    <w:rsid w:val="002D57E5"/>
    <w:rsid w:val="002E16AE"/>
    <w:rsid w:val="002E17D7"/>
    <w:rsid w:val="002E1873"/>
    <w:rsid w:val="002E37E5"/>
    <w:rsid w:val="002E4403"/>
    <w:rsid w:val="002E48C4"/>
    <w:rsid w:val="002E4CFD"/>
    <w:rsid w:val="002E5169"/>
    <w:rsid w:val="002E53A7"/>
    <w:rsid w:val="002E61C0"/>
    <w:rsid w:val="002E770F"/>
    <w:rsid w:val="002F0003"/>
    <w:rsid w:val="002F1ADD"/>
    <w:rsid w:val="002F2361"/>
    <w:rsid w:val="002F44F8"/>
    <w:rsid w:val="002F4D21"/>
    <w:rsid w:val="002F651B"/>
    <w:rsid w:val="003015A5"/>
    <w:rsid w:val="00302000"/>
    <w:rsid w:val="0030212A"/>
    <w:rsid w:val="00303432"/>
    <w:rsid w:val="0030345D"/>
    <w:rsid w:val="00303D97"/>
    <w:rsid w:val="0030442F"/>
    <w:rsid w:val="003047EA"/>
    <w:rsid w:val="003048A0"/>
    <w:rsid w:val="00305B6C"/>
    <w:rsid w:val="0030694D"/>
    <w:rsid w:val="0030713C"/>
    <w:rsid w:val="00307A73"/>
    <w:rsid w:val="003108BC"/>
    <w:rsid w:val="00310DAA"/>
    <w:rsid w:val="00311C70"/>
    <w:rsid w:val="00313761"/>
    <w:rsid w:val="00314868"/>
    <w:rsid w:val="00314BF3"/>
    <w:rsid w:val="00314F1A"/>
    <w:rsid w:val="00316CFD"/>
    <w:rsid w:val="003219C1"/>
    <w:rsid w:val="003219F0"/>
    <w:rsid w:val="00322310"/>
    <w:rsid w:val="003237F7"/>
    <w:rsid w:val="0032457B"/>
    <w:rsid w:val="00324E47"/>
    <w:rsid w:val="00325385"/>
    <w:rsid w:val="00327471"/>
    <w:rsid w:val="00327795"/>
    <w:rsid w:val="0032787D"/>
    <w:rsid w:val="00327D42"/>
    <w:rsid w:val="00330F64"/>
    <w:rsid w:val="0033180A"/>
    <w:rsid w:val="00332548"/>
    <w:rsid w:val="00332C32"/>
    <w:rsid w:val="003331A9"/>
    <w:rsid w:val="003336F9"/>
    <w:rsid w:val="003342AD"/>
    <w:rsid w:val="0033469F"/>
    <w:rsid w:val="0033493E"/>
    <w:rsid w:val="00335F42"/>
    <w:rsid w:val="00336245"/>
    <w:rsid w:val="003364B9"/>
    <w:rsid w:val="0033670E"/>
    <w:rsid w:val="0033699F"/>
    <w:rsid w:val="003376F1"/>
    <w:rsid w:val="00340465"/>
    <w:rsid w:val="00341CA4"/>
    <w:rsid w:val="00341DB9"/>
    <w:rsid w:val="00342888"/>
    <w:rsid w:val="00342FE9"/>
    <w:rsid w:val="0034302B"/>
    <w:rsid w:val="0034334E"/>
    <w:rsid w:val="003440CC"/>
    <w:rsid w:val="00344945"/>
    <w:rsid w:val="0034536D"/>
    <w:rsid w:val="00346EE0"/>
    <w:rsid w:val="003521AE"/>
    <w:rsid w:val="003521DF"/>
    <w:rsid w:val="003525BB"/>
    <w:rsid w:val="00352BE2"/>
    <w:rsid w:val="00354206"/>
    <w:rsid w:val="00354570"/>
    <w:rsid w:val="00354C93"/>
    <w:rsid w:val="003555A5"/>
    <w:rsid w:val="00355736"/>
    <w:rsid w:val="003558B2"/>
    <w:rsid w:val="003578AD"/>
    <w:rsid w:val="00357B6F"/>
    <w:rsid w:val="00357C60"/>
    <w:rsid w:val="00357DD4"/>
    <w:rsid w:val="00360043"/>
    <w:rsid w:val="003601C7"/>
    <w:rsid w:val="00360A5A"/>
    <w:rsid w:val="00362947"/>
    <w:rsid w:val="003632C7"/>
    <w:rsid w:val="0036433C"/>
    <w:rsid w:val="003645EC"/>
    <w:rsid w:val="00365294"/>
    <w:rsid w:val="00367366"/>
    <w:rsid w:val="00370949"/>
    <w:rsid w:val="00371059"/>
    <w:rsid w:val="0037151D"/>
    <w:rsid w:val="00371DFA"/>
    <w:rsid w:val="0037361E"/>
    <w:rsid w:val="003741E8"/>
    <w:rsid w:val="00375205"/>
    <w:rsid w:val="00377696"/>
    <w:rsid w:val="003802CA"/>
    <w:rsid w:val="003806AC"/>
    <w:rsid w:val="00381204"/>
    <w:rsid w:val="003825BF"/>
    <w:rsid w:val="003835C7"/>
    <w:rsid w:val="00383D55"/>
    <w:rsid w:val="00384B9F"/>
    <w:rsid w:val="00385DC9"/>
    <w:rsid w:val="00385FA8"/>
    <w:rsid w:val="0038691F"/>
    <w:rsid w:val="00387654"/>
    <w:rsid w:val="003907D0"/>
    <w:rsid w:val="003925F7"/>
    <w:rsid w:val="00393251"/>
    <w:rsid w:val="0039400C"/>
    <w:rsid w:val="00395993"/>
    <w:rsid w:val="00396BAD"/>
    <w:rsid w:val="00397357"/>
    <w:rsid w:val="003978EA"/>
    <w:rsid w:val="003A1836"/>
    <w:rsid w:val="003A3D0E"/>
    <w:rsid w:val="003A420C"/>
    <w:rsid w:val="003A49B7"/>
    <w:rsid w:val="003A5049"/>
    <w:rsid w:val="003A5464"/>
    <w:rsid w:val="003A560F"/>
    <w:rsid w:val="003A712F"/>
    <w:rsid w:val="003B0363"/>
    <w:rsid w:val="003B0686"/>
    <w:rsid w:val="003B1BBB"/>
    <w:rsid w:val="003B4B7D"/>
    <w:rsid w:val="003B50AB"/>
    <w:rsid w:val="003B5B1B"/>
    <w:rsid w:val="003B6857"/>
    <w:rsid w:val="003B6CE9"/>
    <w:rsid w:val="003B6DAB"/>
    <w:rsid w:val="003C00A6"/>
    <w:rsid w:val="003C16F8"/>
    <w:rsid w:val="003C2B3A"/>
    <w:rsid w:val="003C5202"/>
    <w:rsid w:val="003C52D9"/>
    <w:rsid w:val="003C648E"/>
    <w:rsid w:val="003C68B9"/>
    <w:rsid w:val="003C7483"/>
    <w:rsid w:val="003D0B0F"/>
    <w:rsid w:val="003D0C8B"/>
    <w:rsid w:val="003D28CC"/>
    <w:rsid w:val="003D43F2"/>
    <w:rsid w:val="003D4CC1"/>
    <w:rsid w:val="003D582F"/>
    <w:rsid w:val="003D684A"/>
    <w:rsid w:val="003D6E9C"/>
    <w:rsid w:val="003E0067"/>
    <w:rsid w:val="003E0728"/>
    <w:rsid w:val="003E1113"/>
    <w:rsid w:val="003E19DD"/>
    <w:rsid w:val="003E4F76"/>
    <w:rsid w:val="003E5F99"/>
    <w:rsid w:val="003E6407"/>
    <w:rsid w:val="003F2328"/>
    <w:rsid w:val="003F23E2"/>
    <w:rsid w:val="003F2760"/>
    <w:rsid w:val="003F3283"/>
    <w:rsid w:val="003F3661"/>
    <w:rsid w:val="003F3C25"/>
    <w:rsid w:val="003F3FE0"/>
    <w:rsid w:val="003F475B"/>
    <w:rsid w:val="003F48E4"/>
    <w:rsid w:val="003F5FB8"/>
    <w:rsid w:val="003F6177"/>
    <w:rsid w:val="003F6F35"/>
    <w:rsid w:val="003F716C"/>
    <w:rsid w:val="003F7302"/>
    <w:rsid w:val="003F7C36"/>
    <w:rsid w:val="003F7E75"/>
    <w:rsid w:val="0040050E"/>
    <w:rsid w:val="00403928"/>
    <w:rsid w:val="0040479C"/>
    <w:rsid w:val="00404FAD"/>
    <w:rsid w:val="004056EB"/>
    <w:rsid w:val="0040646A"/>
    <w:rsid w:val="004133EA"/>
    <w:rsid w:val="0041386E"/>
    <w:rsid w:val="00416288"/>
    <w:rsid w:val="00417B05"/>
    <w:rsid w:val="004201CA"/>
    <w:rsid w:val="0042241B"/>
    <w:rsid w:val="004235C3"/>
    <w:rsid w:val="00424904"/>
    <w:rsid w:val="004308BF"/>
    <w:rsid w:val="00430BCD"/>
    <w:rsid w:val="004310D0"/>
    <w:rsid w:val="0043159B"/>
    <w:rsid w:val="004321F9"/>
    <w:rsid w:val="00432CB4"/>
    <w:rsid w:val="00433533"/>
    <w:rsid w:val="00433FF4"/>
    <w:rsid w:val="00434481"/>
    <w:rsid w:val="00434B46"/>
    <w:rsid w:val="00435056"/>
    <w:rsid w:val="004366B0"/>
    <w:rsid w:val="00440009"/>
    <w:rsid w:val="0044033E"/>
    <w:rsid w:val="0044176C"/>
    <w:rsid w:val="00442712"/>
    <w:rsid w:val="00447567"/>
    <w:rsid w:val="00452426"/>
    <w:rsid w:val="00452453"/>
    <w:rsid w:val="00453B1B"/>
    <w:rsid w:val="00453D7D"/>
    <w:rsid w:val="00455540"/>
    <w:rsid w:val="00456008"/>
    <w:rsid w:val="004561FC"/>
    <w:rsid w:val="00456508"/>
    <w:rsid w:val="004569F2"/>
    <w:rsid w:val="00457C7E"/>
    <w:rsid w:val="00462E0E"/>
    <w:rsid w:val="004630B0"/>
    <w:rsid w:val="00463A05"/>
    <w:rsid w:val="0046643F"/>
    <w:rsid w:val="00466C72"/>
    <w:rsid w:val="00466DD2"/>
    <w:rsid w:val="00471A52"/>
    <w:rsid w:val="00471E7F"/>
    <w:rsid w:val="00472165"/>
    <w:rsid w:val="00472A94"/>
    <w:rsid w:val="00474539"/>
    <w:rsid w:val="00475C2A"/>
    <w:rsid w:val="004769F2"/>
    <w:rsid w:val="00476BF7"/>
    <w:rsid w:val="00476F95"/>
    <w:rsid w:val="00480D91"/>
    <w:rsid w:val="00481DC8"/>
    <w:rsid w:val="004827CE"/>
    <w:rsid w:val="00483D89"/>
    <w:rsid w:val="00485E78"/>
    <w:rsid w:val="004865EE"/>
    <w:rsid w:val="00490211"/>
    <w:rsid w:val="00490C0E"/>
    <w:rsid w:val="00491196"/>
    <w:rsid w:val="00491914"/>
    <w:rsid w:val="004947ED"/>
    <w:rsid w:val="004A1040"/>
    <w:rsid w:val="004A22BC"/>
    <w:rsid w:val="004A2876"/>
    <w:rsid w:val="004A32C6"/>
    <w:rsid w:val="004A3942"/>
    <w:rsid w:val="004A51B2"/>
    <w:rsid w:val="004A5BFE"/>
    <w:rsid w:val="004A7271"/>
    <w:rsid w:val="004B0970"/>
    <w:rsid w:val="004B0C4C"/>
    <w:rsid w:val="004B18FB"/>
    <w:rsid w:val="004B294B"/>
    <w:rsid w:val="004B3020"/>
    <w:rsid w:val="004B3667"/>
    <w:rsid w:val="004B4AFE"/>
    <w:rsid w:val="004B55D0"/>
    <w:rsid w:val="004B59DA"/>
    <w:rsid w:val="004B5B60"/>
    <w:rsid w:val="004C156D"/>
    <w:rsid w:val="004C1D77"/>
    <w:rsid w:val="004C255D"/>
    <w:rsid w:val="004C3142"/>
    <w:rsid w:val="004C375E"/>
    <w:rsid w:val="004C71FF"/>
    <w:rsid w:val="004C7DC0"/>
    <w:rsid w:val="004D2C77"/>
    <w:rsid w:val="004D45EC"/>
    <w:rsid w:val="004D6927"/>
    <w:rsid w:val="004D7D80"/>
    <w:rsid w:val="004E0D63"/>
    <w:rsid w:val="004E17F8"/>
    <w:rsid w:val="004E1DDE"/>
    <w:rsid w:val="004E290C"/>
    <w:rsid w:val="004E3832"/>
    <w:rsid w:val="004E6924"/>
    <w:rsid w:val="004E6F5B"/>
    <w:rsid w:val="004F0B45"/>
    <w:rsid w:val="004F270B"/>
    <w:rsid w:val="005023FA"/>
    <w:rsid w:val="00503951"/>
    <w:rsid w:val="0050398D"/>
    <w:rsid w:val="005042FC"/>
    <w:rsid w:val="005051F6"/>
    <w:rsid w:val="00505D55"/>
    <w:rsid w:val="00506995"/>
    <w:rsid w:val="00510A9C"/>
    <w:rsid w:val="00511BB7"/>
    <w:rsid w:val="00512E79"/>
    <w:rsid w:val="0051383F"/>
    <w:rsid w:val="00514703"/>
    <w:rsid w:val="00514BBA"/>
    <w:rsid w:val="00515041"/>
    <w:rsid w:val="005164CB"/>
    <w:rsid w:val="00516D69"/>
    <w:rsid w:val="005205D5"/>
    <w:rsid w:val="00521F60"/>
    <w:rsid w:val="00522F5F"/>
    <w:rsid w:val="005244A0"/>
    <w:rsid w:val="00524D0A"/>
    <w:rsid w:val="00527954"/>
    <w:rsid w:val="0053046D"/>
    <w:rsid w:val="00536D68"/>
    <w:rsid w:val="005414C0"/>
    <w:rsid w:val="00541BE4"/>
    <w:rsid w:val="00543407"/>
    <w:rsid w:val="005447D2"/>
    <w:rsid w:val="0054634F"/>
    <w:rsid w:val="00547CCE"/>
    <w:rsid w:val="00547E5C"/>
    <w:rsid w:val="0055022F"/>
    <w:rsid w:val="00550EFD"/>
    <w:rsid w:val="0055350C"/>
    <w:rsid w:val="005547BB"/>
    <w:rsid w:val="00554CAC"/>
    <w:rsid w:val="005556D0"/>
    <w:rsid w:val="00556C5C"/>
    <w:rsid w:val="005612AE"/>
    <w:rsid w:val="00562A9B"/>
    <w:rsid w:val="00563D72"/>
    <w:rsid w:val="00564536"/>
    <w:rsid w:val="005653AA"/>
    <w:rsid w:val="00566ED5"/>
    <w:rsid w:val="00570608"/>
    <w:rsid w:val="00570765"/>
    <w:rsid w:val="00570CB1"/>
    <w:rsid w:val="0057121D"/>
    <w:rsid w:val="0057191E"/>
    <w:rsid w:val="00573F15"/>
    <w:rsid w:val="00574B46"/>
    <w:rsid w:val="00580525"/>
    <w:rsid w:val="00580E08"/>
    <w:rsid w:val="00583108"/>
    <w:rsid w:val="00583B2F"/>
    <w:rsid w:val="00584DD5"/>
    <w:rsid w:val="005860F4"/>
    <w:rsid w:val="0058768B"/>
    <w:rsid w:val="0059042E"/>
    <w:rsid w:val="00590557"/>
    <w:rsid w:val="00593038"/>
    <w:rsid w:val="00594410"/>
    <w:rsid w:val="00597E5D"/>
    <w:rsid w:val="005A02BA"/>
    <w:rsid w:val="005A1AF1"/>
    <w:rsid w:val="005A1DAE"/>
    <w:rsid w:val="005A5FB8"/>
    <w:rsid w:val="005A7519"/>
    <w:rsid w:val="005B45D0"/>
    <w:rsid w:val="005C02AF"/>
    <w:rsid w:val="005C1560"/>
    <w:rsid w:val="005C25FC"/>
    <w:rsid w:val="005C2F7D"/>
    <w:rsid w:val="005C36A5"/>
    <w:rsid w:val="005C5522"/>
    <w:rsid w:val="005C5632"/>
    <w:rsid w:val="005C6C19"/>
    <w:rsid w:val="005C75E5"/>
    <w:rsid w:val="005D1755"/>
    <w:rsid w:val="005D3987"/>
    <w:rsid w:val="005D3BF4"/>
    <w:rsid w:val="005D3D29"/>
    <w:rsid w:val="005D49FA"/>
    <w:rsid w:val="005D523C"/>
    <w:rsid w:val="005D7ABC"/>
    <w:rsid w:val="005E008E"/>
    <w:rsid w:val="005E083D"/>
    <w:rsid w:val="005E0C5F"/>
    <w:rsid w:val="005E11E2"/>
    <w:rsid w:val="005E2233"/>
    <w:rsid w:val="005E4751"/>
    <w:rsid w:val="005E5552"/>
    <w:rsid w:val="005E56B4"/>
    <w:rsid w:val="005E61F6"/>
    <w:rsid w:val="005E703E"/>
    <w:rsid w:val="005F32D9"/>
    <w:rsid w:val="005F330E"/>
    <w:rsid w:val="005F3680"/>
    <w:rsid w:val="005F475E"/>
    <w:rsid w:val="005F4DA5"/>
    <w:rsid w:val="005F54A3"/>
    <w:rsid w:val="005F5E7E"/>
    <w:rsid w:val="006006A3"/>
    <w:rsid w:val="00602C43"/>
    <w:rsid w:val="00602F38"/>
    <w:rsid w:val="0060301C"/>
    <w:rsid w:val="006031FF"/>
    <w:rsid w:val="0060348C"/>
    <w:rsid w:val="00605160"/>
    <w:rsid w:val="00605735"/>
    <w:rsid w:val="0060577A"/>
    <w:rsid w:val="00606389"/>
    <w:rsid w:val="006063B3"/>
    <w:rsid w:val="00610457"/>
    <w:rsid w:val="0061070D"/>
    <w:rsid w:val="00610B1C"/>
    <w:rsid w:val="00611912"/>
    <w:rsid w:val="00611B86"/>
    <w:rsid w:val="00612963"/>
    <w:rsid w:val="00615F0E"/>
    <w:rsid w:val="00616086"/>
    <w:rsid w:val="006177E0"/>
    <w:rsid w:val="006203A9"/>
    <w:rsid w:val="00621574"/>
    <w:rsid w:val="0062398D"/>
    <w:rsid w:val="00623BFB"/>
    <w:rsid w:val="00624757"/>
    <w:rsid w:val="00625542"/>
    <w:rsid w:val="00626270"/>
    <w:rsid w:val="00627683"/>
    <w:rsid w:val="00627D17"/>
    <w:rsid w:val="00630ECC"/>
    <w:rsid w:val="00630EEB"/>
    <w:rsid w:val="006312C2"/>
    <w:rsid w:val="006316E9"/>
    <w:rsid w:val="006335E2"/>
    <w:rsid w:val="00635164"/>
    <w:rsid w:val="0063518A"/>
    <w:rsid w:val="006378B0"/>
    <w:rsid w:val="00640E09"/>
    <w:rsid w:val="0064153C"/>
    <w:rsid w:val="00641A19"/>
    <w:rsid w:val="00641B6D"/>
    <w:rsid w:val="00641D4D"/>
    <w:rsid w:val="00641E35"/>
    <w:rsid w:val="00642171"/>
    <w:rsid w:val="0064270B"/>
    <w:rsid w:val="006433B9"/>
    <w:rsid w:val="00643FA0"/>
    <w:rsid w:val="00644EA3"/>
    <w:rsid w:val="006468CF"/>
    <w:rsid w:val="00647045"/>
    <w:rsid w:val="00647E8C"/>
    <w:rsid w:val="00651C6E"/>
    <w:rsid w:val="006557D7"/>
    <w:rsid w:val="006573F9"/>
    <w:rsid w:val="00657800"/>
    <w:rsid w:val="00657E49"/>
    <w:rsid w:val="00661997"/>
    <w:rsid w:val="00662B81"/>
    <w:rsid w:val="0066379D"/>
    <w:rsid w:val="006643FB"/>
    <w:rsid w:val="00665753"/>
    <w:rsid w:val="006658AC"/>
    <w:rsid w:val="006660DD"/>
    <w:rsid w:val="00667636"/>
    <w:rsid w:val="00667EBD"/>
    <w:rsid w:val="006703D0"/>
    <w:rsid w:val="006708B5"/>
    <w:rsid w:val="00670A3A"/>
    <w:rsid w:val="00671105"/>
    <w:rsid w:val="00671EC8"/>
    <w:rsid w:val="00673F84"/>
    <w:rsid w:val="00674F06"/>
    <w:rsid w:val="00675187"/>
    <w:rsid w:val="00675677"/>
    <w:rsid w:val="006759E4"/>
    <w:rsid w:val="0067715D"/>
    <w:rsid w:val="0067718A"/>
    <w:rsid w:val="00681CF9"/>
    <w:rsid w:val="0068232D"/>
    <w:rsid w:val="0068248E"/>
    <w:rsid w:val="00682F22"/>
    <w:rsid w:val="00683FB8"/>
    <w:rsid w:val="0068441C"/>
    <w:rsid w:val="0068643D"/>
    <w:rsid w:val="0069181E"/>
    <w:rsid w:val="00693539"/>
    <w:rsid w:val="00695730"/>
    <w:rsid w:val="006A0800"/>
    <w:rsid w:val="006A0C56"/>
    <w:rsid w:val="006A1D4E"/>
    <w:rsid w:val="006A22D8"/>
    <w:rsid w:val="006A3276"/>
    <w:rsid w:val="006A362A"/>
    <w:rsid w:val="006A4095"/>
    <w:rsid w:val="006A46DC"/>
    <w:rsid w:val="006A490C"/>
    <w:rsid w:val="006A63C8"/>
    <w:rsid w:val="006A6AB1"/>
    <w:rsid w:val="006A70DC"/>
    <w:rsid w:val="006A726E"/>
    <w:rsid w:val="006B1E1E"/>
    <w:rsid w:val="006B2166"/>
    <w:rsid w:val="006B32EB"/>
    <w:rsid w:val="006B3F0C"/>
    <w:rsid w:val="006B63C6"/>
    <w:rsid w:val="006B661F"/>
    <w:rsid w:val="006C0F8B"/>
    <w:rsid w:val="006C1802"/>
    <w:rsid w:val="006C329B"/>
    <w:rsid w:val="006C5FE2"/>
    <w:rsid w:val="006C69A6"/>
    <w:rsid w:val="006D0F61"/>
    <w:rsid w:val="006D1515"/>
    <w:rsid w:val="006D176E"/>
    <w:rsid w:val="006D3604"/>
    <w:rsid w:val="006D7196"/>
    <w:rsid w:val="006D7F19"/>
    <w:rsid w:val="006E16B5"/>
    <w:rsid w:val="006E3BA5"/>
    <w:rsid w:val="006E4895"/>
    <w:rsid w:val="006E4951"/>
    <w:rsid w:val="006E4D66"/>
    <w:rsid w:val="006E7DF8"/>
    <w:rsid w:val="006F0984"/>
    <w:rsid w:val="006F0F1E"/>
    <w:rsid w:val="006F1207"/>
    <w:rsid w:val="006F1E59"/>
    <w:rsid w:val="006F23A3"/>
    <w:rsid w:val="006F2D1A"/>
    <w:rsid w:val="006F5F0C"/>
    <w:rsid w:val="006F6B25"/>
    <w:rsid w:val="006F6E93"/>
    <w:rsid w:val="007000B9"/>
    <w:rsid w:val="0070114A"/>
    <w:rsid w:val="00701834"/>
    <w:rsid w:val="007020A0"/>
    <w:rsid w:val="00702202"/>
    <w:rsid w:val="00702388"/>
    <w:rsid w:val="00702B5A"/>
    <w:rsid w:val="007030B1"/>
    <w:rsid w:val="00703FC0"/>
    <w:rsid w:val="00704191"/>
    <w:rsid w:val="007069C4"/>
    <w:rsid w:val="00707DE0"/>
    <w:rsid w:val="007101AB"/>
    <w:rsid w:val="007135D2"/>
    <w:rsid w:val="00714E12"/>
    <w:rsid w:val="007163C7"/>
    <w:rsid w:val="007179C6"/>
    <w:rsid w:val="00720468"/>
    <w:rsid w:val="00721018"/>
    <w:rsid w:val="00723C1C"/>
    <w:rsid w:val="00724857"/>
    <w:rsid w:val="00725AE5"/>
    <w:rsid w:val="00726E42"/>
    <w:rsid w:val="0072749C"/>
    <w:rsid w:val="0073181F"/>
    <w:rsid w:val="0073256C"/>
    <w:rsid w:val="00733368"/>
    <w:rsid w:val="0073356A"/>
    <w:rsid w:val="00734804"/>
    <w:rsid w:val="00740BEC"/>
    <w:rsid w:val="00741328"/>
    <w:rsid w:val="00741681"/>
    <w:rsid w:val="00741BD1"/>
    <w:rsid w:val="00741C05"/>
    <w:rsid w:val="00742CD1"/>
    <w:rsid w:val="00745F97"/>
    <w:rsid w:val="0074605B"/>
    <w:rsid w:val="007460B9"/>
    <w:rsid w:val="00746EC9"/>
    <w:rsid w:val="007473D4"/>
    <w:rsid w:val="00747731"/>
    <w:rsid w:val="00750270"/>
    <w:rsid w:val="00752AC0"/>
    <w:rsid w:val="00752BA6"/>
    <w:rsid w:val="00753CFC"/>
    <w:rsid w:val="00754CD7"/>
    <w:rsid w:val="00755556"/>
    <w:rsid w:val="00755848"/>
    <w:rsid w:val="00756D44"/>
    <w:rsid w:val="00757521"/>
    <w:rsid w:val="00757CA5"/>
    <w:rsid w:val="0076224A"/>
    <w:rsid w:val="007632F5"/>
    <w:rsid w:val="00765723"/>
    <w:rsid w:val="00765882"/>
    <w:rsid w:val="0076691B"/>
    <w:rsid w:val="00770B9E"/>
    <w:rsid w:val="00770CFE"/>
    <w:rsid w:val="00771B82"/>
    <w:rsid w:val="0077217F"/>
    <w:rsid w:val="00772CEE"/>
    <w:rsid w:val="00772FCB"/>
    <w:rsid w:val="007735D5"/>
    <w:rsid w:val="007743EC"/>
    <w:rsid w:val="0077473F"/>
    <w:rsid w:val="00774D27"/>
    <w:rsid w:val="007750BD"/>
    <w:rsid w:val="007756A4"/>
    <w:rsid w:val="0077669B"/>
    <w:rsid w:val="00777F98"/>
    <w:rsid w:val="00781BB3"/>
    <w:rsid w:val="00781C78"/>
    <w:rsid w:val="00782CAF"/>
    <w:rsid w:val="00783478"/>
    <w:rsid w:val="00784D0A"/>
    <w:rsid w:val="00785511"/>
    <w:rsid w:val="007862BA"/>
    <w:rsid w:val="007879EF"/>
    <w:rsid w:val="00787F84"/>
    <w:rsid w:val="0079183E"/>
    <w:rsid w:val="00791CB8"/>
    <w:rsid w:val="00792B8D"/>
    <w:rsid w:val="00792EC1"/>
    <w:rsid w:val="007947FB"/>
    <w:rsid w:val="00794AC3"/>
    <w:rsid w:val="00794D95"/>
    <w:rsid w:val="0079515B"/>
    <w:rsid w:val="0079522C"/>
    <w:rsid w:val="00795F1A"/>
    <w:rsid w:val="0079709F"/>
    <w:rsid w:val="007A03DC"/>
    <w:rsid w:val="007A14F2"/>
    <w:rsid w:val="007A1C37"/>
    <w:rsid w:val="007A40A5"/>
    <w:rsid w:val="007A4CBA"/>
    <w:rsid w:val="007A5182"/>
    <w:rsid w:val="007A55D9"/>
    <w:rsid w:val="007B1E31"/>
    <w:rsid w:val="007B45B1"/>
    <w:rsid w:val="007B5707"/>
    <w:rsid w:val="007B5770"/>
    <w:rsid w:val="007B67BA"/>
    <w:rsid w:val="007B6A74"/>
    <w:rsid w:val="007B7860"/>
    <w:rsid w:val="007B7D70"/>
    <w:rsid w:val="007C0646"/>
    <w:rsid w:val="007C0E85"/>
    <w:rsid w:val="007C0F00"/>
    <w:rsid w:val="007C2648"/>
    <w:rsid w:val="007C3927"/>
    <w:rsid w:val="007C4E39"/>
    <w:rsid w:val="007C4F01"/>
    <w:rsid w:val="007C7E41"/>
    <w:rsid w:val="007D1761"/>
    <w:rsid w:val="007D2381"/>
    <w:rsid w:val="007D38C9"/>
    <w:rsid w:val="007D56A3"/>
    <w:rsid w:val="007D69B0"/>
    <w:rsid w:val="007D7699"/>
    <w:rsid w:val="007E03D5"/>
    <w:rsid w:val="007E0D53"/>
    <w:rsid w:val="007E10D6"/>
    <w:rsid w:val="007E1C92"/>
    <w:rsid w:val="007E23BA"/>
    <w:rsid w:val="007E5830"/>
    <w:rsid w:val="007E5FB7"/>
    <w:rsid w:val="007F1DD1"/>
    <w:rsid w:val="007F2C61"/>
    <w:rsid w:val="007F2CA3"/>
    <w:rsid w:val="007F3D60"/>
    <w:rsid w:val="007F4A28"/>
    <w:rsid w:val="007F5281"/>
    <w:rsid w:val="007F5692"/>
    <w:rsid w:val="007F5A75"/>
    <w:rsid w:val="007F7B4D"/>
    <w:rsid w:val="007F7F73"/>
    <w:rsid w:val="008003C5"/>
    <w:rsid w:val="008006A0"/>
    <w:rsid w:val="00800844"/>
    <w:rsid w:val="00802BD2"/>
    <w:rsid w:val="00803BCA"/>
    <w:rsid w:val="0080433C"/>
    <w:rsid w:val="00804683"/>
    <w:rsid w:val="00804E4F"/>
    <w:rsid w:val="008054E3"/>
    <w:rsid w:val="00806666"/>
    <w:rsid w:val="00810484"/>
    <w:rsid w:val="0081071C"/>
    <w:rsid w:val="008138E2"/>
    <w:rsid w:val="00815267"/>
    <w:rsid w:val="008158E1"/>
    <w:rsid w:val="00817648"/>
    <w:rsid w:val="00817747"/>
    <w:rsid w:val="00820B68"/>
    <w:rsid w:val="0082121C"/>
    <w:rsid w:val="0082136C"/>
    <w:rsid w:val="00822844"/>
    <w:rsid w:val="00824219"/>
    <w:rsid w:val="008252E5"/>
    <w:rsid w:val="00827650"/>
    <w:rsid w:val="0082769A"/>
    <w:rsid w:val="008278BE"/>
    <w:rsid w:val="00830051"/>
    <w:rsid w:val="00831949"/>
    <w:rsid w:val="0083258A"/>
    <w:rsid w:val="008333B9"/>
    <w:rsid w:val="00833466"/>
    <w:rsid w:val="00833F23"/>
    <w:rsid w:val="00834435"/>
    <w:rsid w:val="0083488D"/>
    <w:rsid w:val="008350A0"/>
    <w:rsid w:val="00835D62"/>
    <w:rsid w:val="008366B7"/>
    <w:rsid w:val="008368F3"/>
    <w:rsid w:val="008372E1"/>
    <w:rsid w:val="00837F4B"/>
    <w:rsid w:val="00841184"/>
    <w:rsid w:val="008413AB"/>
    <w:rsid w:val="00841740"/>
    <w:rsid w:val="008418F0"/>
    <w:rsid w:val="00842A9E"/>
    <w:rsid w:val="008452DD"/>
    <w:rsid w:val="00845603"/>
    <w:rsid w:val="008461CE"/>
    <w:rsid w:val="008470CB"/>
    <w:rsid w:val="00847814"/>
    <w:rsid w:val="008479D5"/>
    <w:rsid w:val="00847FB1"/>
    <w:rsid w:val="008528E1"/>
    <w:rsid w:val="00853063"/>
    <w:rsid w:val="0085348A"/>
    <w:rsid w:val="00854326"/>
    <w:rsid w:val="008547FD"/>
    <w:rsid w:val="008566F7"/>
    <w:rsid w:val="00856BD1"/>
    <w:rsid w:val="00856E55"/>
    <w:rsid w:val="0086017A"/>
    <w:rsid w:val="00862CFA"/>
    <w:rsid w:val="00863153"/>
    <w:rsid w:val="00863A1D"/>
    <w:rsid w:val="00864BE3"/>
    <w:rsid w:val="00865247"/>
    <w:rsid w:val="0087368F"/>
    <w:rsid w:val="008737B4"/>
    <w:rsid w:val="00873FE2"/>
    <w:rsid w:val="00874A10"/>
    <w:rsid w:val="00875530"/>
    <w:rsid w:val="0087592F"/>
    <w:rsid w:val="00875D22"/>
    <w:rsid w:val="00875EB6"/>
    <w:rsid w:val="00875F4E"/>
    <w:rsid w:val="0087614B"/>
    <w:rsid w:val="00876360"/>
    <w:rsid w:val="00877532"/>
    <w:rsid w:val="0087757F"/>
    <w:rsid w:val="00877E54"/>
    <w:rsid w:val="00877FDD"/>
    <w:rsid w:val="0088159A"/>
    <w:rsid w:val="00882014"/>
    <w:rsid w:val="008829C2"/>
    <w:rsid w:val="0088377A"/>
    <w:rsid w:val="00883CDA"/>
    <w:rsid w:val="008841ED"/>
    <w:rsid w:val="0088463B"/>
    <w:rsid w:val="00884E1C"/>
    <w:rsid w:val="00887467"/>
    <w:rsid w:val="0088746B"/>
    <w:rsid w:val="00890321"/>
    <w:rsid w:val="00890603"/>
    <w:rsid w:val="00891654"/>
    <w:rsid w:val="008917AB"/>
    <w:rsid w:val="00892525"/>
    <w:rsid w:val="00892DFF"/>
    <w:rsid w:val="00894E0B"/>
    <w:rsid w:val="00895B73"/>
    <w:rsid w:val="00896543"/>
    <w:rsid w:val="00897328"/>
    <w:rsid w:val="008A16C1"/>
    <w:rsid w:val="008A3AE2"/>
    <w:rsid w:val="008A3C99"/>
    <w:rsid w:val="008A5817"/>
    <w:rsid w:val="008A6DEB"/>
    <w:rsid w:val="008B22EC"/>
    <w:rsid w:val="008B2906"/>
    <w:rsid w:val="008B43B7"/>
    <w:rsid w:val="008C61BC"/>
    <w:rsid w:val="008C6CA7"/>
    <w:rsid w:val="008C7452"/>
    <w:rsid w:val="008C7486"/>
    <w:rsid w:val="008D10E1"/>
    <w:rsid w:val="008D1412"/>
    <w:rsid w:val="008D1A8D"/>
    <w:rsid w:val="008D1EDB"/>
    <w:rsid w:val="008D21BC"/>
    <w:rsid w:val="008D2F24"/>
    <w:rsid w:val="008D379F"/>
    <w:rsid w:val="008D3A1A"/>
    <w:rsid w:val="008D40D7"/>
    <w:rsid w:val="008D4C95"/>
    <w:rsid w:val="008D543C"/>
    <w:rsid w:val="008D5BC1"/>
    <w:rsid w:val="008D5EA9"/>
    <w:rsid w:val="008D6E8F"/>
    <w:rsid w:val="008E1F38"/>
    <w:rsid w:val="008E2FE6"/>
    <w:rsid w:val="008E3668"/>
    <w:rsid w:val="008E5348"/>
    <w:rsid w:val="008E619F"/>
    <w:rsid w:val="008E7B11"/>
    <w:rsid w:val="008F09A8"/>
    <w:rsid w:val="008F3191"/>
    <w:rsid w:val="008F4048"/>
    <w:rsid w:val="008F50D2"/>
    <w:rsid w:val="008F5257"/>
    <w:rsid w:val="008F5422"/>
    <w:rsid w:val="008F606A"/>
    <w:rsid w:val="008F757C"/>
    <w:rsid w:val="00901B09"/>
    <w:rsid w:val="00903304"/>
    <w:rsid w:val="00903C6F"/>
    <w:rsid w:val="009042BC"/>
    <w:rsid w:val="009062EA"/>
    <w:rsid w:val="00907344"/>
    <w:rsid w:val="009079C2"/>
    <w:rsid w:val="009102CB"/>
    <w:rsid w:val="00910860"/>
    <w:rsid w:val="00910AA3"/>
    <w:rsid w:val="00910FB8"/>
    <w:rsid w:val="00911122"/>
    <w:rsid w:val="00911FD5"/>
    <w:rsid w:val="00912806"/>
    <w:rsid w:val="009142FA"/>
    <w:rsid w:val="00914622"/>
    <w:rsid w:val="00915A99"/>
    <w:rsid w:val="00916092"/>
    <w:rsid w:val="00916284"/>
    <w:rsid w:val="0092100E"/>
    <w:rsid w:val="00921D4F"/>
    <w:rsid w:val="00921F12"/>
    <w:rsid w:val="00923E34"/>
    <w:rsid w:val="00924649"/>
    <w:rsid w:val="009259EA"/>
    <w:rsid w:val="0092658F"/>
    <w:rsid w:val="00931210"/>
    <w:rsid w:val="009318FB"/>
    <w:rsid w:val="0093313E"/>
    <w:rsid w:val="00934656"/>
    <w:rsid w:val="009351FC"/>
    <w:rsid w:val="00936294"/>
    <w:rsid w:val="00937229"/>
    <w:rsid w:val="0093741A"/>
    <w:rsid w:val="00937ABE"/>
    <w:rsid w:val="00942156"/>
    <w:rsid w:val="009427AC"/>
    <w:rsid w:val="00942871"/>
    <w:rsid w:val="00942DE2"/>
    <w:rsid w:val="00943EB5"/>
    <w:rsid w:val="0094427A"/>
    <w:rsid w:val="00945ECF"/>
    <w:rsid w:val="00946BB7"/>
    <w:rsid w:val="00947B59"/>
    <w:rsid w:val="009508F6"/>
    <w:rsid w:val="00952154"/>
    <w:rsid w:val="00953277"/>
    <w:rsid w:val="00953F33"/>
    <w:rsid w:val="009546EA"/>
    <w:rsid w:val="00954839"/>
    <w:rsid w:val="00955C4F"/>
    <w:rsid w:val="00955D49"/>
    <w:rsid w:val="00962371"/>
    <w:rsid w:val="00962A6B"/>
    <w:rsid w:val="00962FFF"/>
    <w:rsid w:val="009632CE"/>
    <w:rsid w:val="00963419"/>
    <w:rsid w:val="009636A1"/>
    <w:rsid w:val="00963D51"/>
    <w:rsid w:val="00965D16"/>
    <w:rsid w:val="00966272"/>
    <w:rsid w:val="00966B3E"/>
    <w:rsid w:val="00966CD7"/>
    <w:rsid w:val="00974A5B"/>
    <w:rsid w:val="00975621"/>
    <w:rsid w:val="00977BD8"/>
    <w:rsid w:val="0098050E"/>
    <w:rsid w:val="009809E0"/>
    <w:rsid w:val="00982722"/>
    <w:rsid w:val="00982CE0"/>
    <w:rsid w:val="00982F2F"/>
    <w:rsid w:val="009853AE"/>
    <w:rsid w:val="009861D6"/>
    <w:rsid w:val="0098627B"/>
    <w:rsid w:val="0098686D"/>
    <w:rsid w:val="00991222"/>
    <w:rsid w:val="00991299"/>
    <w:rsid w:val="00992E8E"/>
    <w:rsid w:val="00993463"/>
    <w:rsid w:val="00995341"/>
    <w:rsid w:val="009957F9"/>
    <w:rsid w:val="00995CC1"/>
    <w:rsid w:val="00995D5C"/>
    <w:rsid w:val="00995E1D"/>
    <w:rsid w:val="00995E49"/>
    <w:rsid w:val="00996D0D"/>
    <w:rsid w:val="009A0F6A"/>
    <w:rsid w:val="009A2F3E"/>
    <w:rsid w:val="009A2FA0"/>
    <w:rsid w:val="009A3EBE"/>
    <w:rsid w:val="009A4139"/>
    <w:rsid w:val="009A6245"/>
    <w:rsid w:val="009A6BA6"/>
    <w:rsid w:val="009A7CCF"/>
    <w:rsid w:val="009B0647"/>
    <w:rsid w:val="009B1301"/>
    <w:rsid w:val="009B1DDE"/>
    <w:rsid w:val="009B1E67"/>
    <w:rsid w:val="009B494B"/>
    <w:rsid w:val="009B4A3E"/>
    <w:rsid w:val="009B4CB5"/>
    <w:rsid w:val="009B617B"/>
    <w:rsid w:val="009B69C8"/>
    <w:rsid w:val="009B6B7E"/>
    <w:rsid w:val="009C06E9"/>
    <w:rsid w:val="009C55EC"/>
    <w:rsid w:val="009C6A4A"/>
    <w:rsid w:val="009D1348"/>
    <w:rsid w:val="009D2218"/>
    <w:rsid w:val="009D29E3"/>
    <w:rsid w:val="009D348E"/>
    <w:rsid w:val="009D439B"/>
    <w:rsid w:val="009D6B4F"/>
    <w:rsid w:val="009D733E"/>
    <w:rsid w:val="009D7970"/>
    <w:rsid w:val="009E10FE"/>
    <w:rsid w:val="009E124A"/>
    <w:rsid w:val="009E13C7"/>
    <w:rsid w:val="009E18C5"/>
    <w:rsid w:val="009E1DD6"/>
    <w:rsid w:val="009E21B6"/>
    <w:rsid w:val="009E310B"/>
    <w:rsid w:val="009E3CBE"/>
    <w:rsid w:val="009E4769"/>
    <w:rsid w:val="009E4D88"/>
    <w:rsid w:val="009E53BB"/>
    <w:rsid w:val="009E6105"/>
    <w:rsid w:val="009F0D03"/>
    <w:rsid w:val="009F1771"/>
    <w:rsid w:val="009F3C94"/>
    <w:rsid w:val="009F4186"/>
    <w:rsid w:val="009F4343"/>
    <w:rsid w:val="009F51BE"/>
    <w:rsid w:val="009F6CEB"/>
    <w:rsid w:val="009F6D49"/>
    <w:rsid w:val="00A005F7"/>
    <w:rsid w:val="00A01815"/>
    <w:rsid w:val="00A02FB2"/>
    <w:rsid w:val="00A04208"/>
    <w:rsid w:val="00A06250"/>
    <w:rsid w:val="00A07344"/>
    <w:rsid w:val="00A07B7D"/>
    <w:rsid w:val="00A1161D"/>
    <w:rsid w:val="00A11885"/>
    <w:rsid w:val="00A12A39"/>
    <w:rsid w:val="00A13738"/>
    <w:rsid w:val="00A13814"/>
    <w:rsid w:val="00A1416E"/>
    <w:rsid w:val="00A148FD"/>
    <w:rsid w:val="00A16127"/>
    <w:rsid w:val="00A162CE"/>
    <w:rsid w:val="00A165DA"/>
    <w:rsid w:val="00A17030"/>
    <w:rsid w:val="00A17B7F"/>
    <w:rsid w:val="00A2001D"/>
    <w:rsid w:val="00A209CE"/>
    <w:rsid w:val="00A21FF4"/>
    <w:rsid w:val="00A220C5"/>
    <w:rsid w:val="00A22AA1"/>
    <w:rsid w:val="00A24A88"/>
    <w:rsid w:val="00A24B13"/>
    <w:rsid w:val="00A2550B"/>
    <w:rsid w:val="00A27286"/>
    <w:rsid w:val="00A27886"/>
    <w:rsid w:val="00A27B1A"/>
    <w:rsid w:val="00A300E1"/>
    <w:rsid w:val="00A32C74"/>
    <w:rsid w:val="00A37CF7"/>
    <w:rsid w:val="00A42B13"/>
    <w:rsid w:val="00A435B0"/>
    <w:rsid w:val="00A44646"/>
    <w:rsid w:val="00A4676E"/>
    <w:rsid w:val="00A4774E"/>
    <w:rsid w:val="00A505C2"/>
    <w:rsid w:val="00A50D35"/>
    <w:rsid w:val="00A571DE"/>
    <w:rsid w:val="00A5760C"/>
    <w:rsid w:val="00A576B3"/>
    <w:rsid w:val="00A6062E"/>
    <w:rsid w:val="00A60BFB"/>
    <w:rsid w:val="00A60F4E"/>
    <w:rsid w:val="00A617FB"/>
    <w:rsid w:val="00A61F86"/>
    <w:rsid w:val="00A65C2D"/>
    <w:rsid w:val="00A662F8"/>
    <w:rsid w:val="00A67181"/>
    <w:rsid w:val="00A70E91"/>
    <w:rsid w:val="00A7295C"/>
    <w:rsid w:val="00A73068"/>
    <w:rsid w:val="00A7342E"/>
    <w:rsid w:val="00A7345F"/>
    <w:rsid w:val="00A73AD5"/>
    <w:rsid w:val="00A73D21"/>
    <w:rsid w:val="00A740AA"/>
    <w:rsid w:val="00A75560"/>
    <w:rsid w:val="00A75D4D"/>
    <w:rsid w:val="00A76D26"/>
    <w:rsid w:val="00A7727B"/>
    <w:rsid w:val="00A779A6"/>
    <w:rsid w:val="00A8125F"/>
    <w:rsid w:val="00A81CE6"/>
    <w:rsid w:val="00A84C5E"/>
    <w:rsid w:val="00A84ED1"/>
    <w:rsid w:val="00A859FD"/>
    <w:rsid w:val="00A86395"/>
    <w:rsid w:val="00A86B5B"/>
    <w:rsid w:val="00A91095"/>
    <w:rsid w:val="00A96088"/>
    <w:rsid w:val="00A9667A"/>
    <w:rsid w:val="00A97BAC"/>
    <w:rsid w:val="00A97CCD"/>
    <w:rsid w:val="00AA1CF6"/>
    <w:rsid w:val="00AA1DD7"/>
    <w:rsid w:val="00AA1FC1"/>
    <w:rsid w:val="00AA3352"/>
    <w:rsid w:val="00AA5092"/>
    <w:rsid w:val="00AA5389"/>
    <w:rsid w:val="00AA55BF"/>
    <w:rsid w:val="00AA569F"/>
    <w:rsid w:val="00AA6098"/>
    <w:rsid w:val="00AA6AB1"/>
    <w:rsid w:val="00AA73DD"/>
    <w:rsid w:val="00AA78D2"/>
    <w:rsid w:val="00AA79FF"/>
    <w:rsid w:val="00AB0421"/>
    <w:rsid w:val="00AB12E7"/>
    <w:rsid w:val="00AB1798"/>
    <w:rsid w:val="00AB204C"/>
    <w:rsid w:val="00AB4D00"/>
    <w:rsid w:val="00AC03A2"/>
    <w:rsid w:val="00AC0431"/>
    <w:rsid w:val="00AC1942"/>
    <w:rsid w:val="00AC2402"/>
    <w:rsid w:val="00AC2985"/>
    <w:rsid w:val="00AC32C8"/>
    <w:rsid w:val="00AC3AAE"/>
    <w:rsid w:val="00AC4316"/>
    <w:rsid w:val="00AC4603"/>
    <w:rsid w:val="00AC4939"/>
    <w:rsid w:val="00AC7904"/>
    <w:rsid w:val="00AD2F03"/>
    <w:rsid w:val="00AD3965"/>
    <w:rsid w:val="00AD3D7A"/>
    <w:rsid w:val="00AD556E"/>
    <w:rsid w:val="00AD5CF9"/>
    <w:rsid w:val="00AE1312"/>
    <w:rsid w:val="00AE3239"/>
    <w:rsid w:val="00AE3A37"/>
    <w:rsid w:val="00AE3CE8"/>
    <w:rsid w:val="00AE5577"/>
    <w:rsid w:val="00AE6084"/>
    <w:rsid w:val="00AE744C"/>
    <w:rsid w:val="00AF2AF5"/>
    <w:rsid w:val="00AF2B40"/>
    <w:rsid w:val="00AF621A"/>
    <w:rsid w:val="00AF69B1"/>
    <w:rsid w:val="00AF73E8"/>
    <w:rsid w:val="00AF7853"/>
    <w:rsid w:val="00B03AA2"/>
    <w:rsid w:val="00B1089A"/>
    <w:rsid w:val="00B1568D"/>
    <w:rsid w:val="00B165E1"/>
    <w:rsid w:val="00B177D4"/>
    <w:rsid w:val="00B17F9C"/>
    <w:rsid w:val="00B20EEE"/>
    <w:rsid w:val="00B2188C"/>
    <w:rsid w:val="00B2305C"/>
    <w:rsid w:val="00B244C7"/>
    <w:rsid w:val="00B2499B"/>
    <w:rsid w:val="00B25BD1"/>
    <w:rsid w:val="00B26489"/>
    <w:rsid w:val="00B27AC6"/>
    <w:rsid w:val="00B30377"/>
    <w:rsid w:val="00B311BF"/>
    <w:rsid w:val="00B31242"/>
    <w:rsid w:val="00B3138E"/>
    <w:rsid w:val="00B32327"/>
    <w:rsid w:val="00B333BC"/>
    <w:rsid w:val="00B333C0"/>
    <w:rsid w:val="00B342CC"/>
    <w:rsid w:val="00B34603"/>
    <w:rsid w:val="00B34CF1"/>
    <w:rsid w:val="00B3586E"/>
    <w:rsid w:val="00B35A8F"/>
    <w:rsid w:val="00B3763F"/>
    <w:rsid w:val="00B37B3D"/>
    <w:rsid w:val="00B37DC5"/>
    <w:rsid w:val="00B40D97"/>
    <w:rsid w:val="00B442A1"/>
    <w:rsid w:val="00B450CA"/>
    <w:rsid w:val="00B45186"/>
    <w:rsid w:val="00B516AE"/>
    <w:rsid w:val="00B52974"/>
    <w:rsid w:val="00B53149"/>
    <w:rsid w:val="00B552C9"/>
    <w:rsid w:val="00B56706"/>
    <w:rsid w:val="00B56728"/>
    <w:rsid w:val="00B56E34"/>
    <w:rsid w:val="00B576CC"/>
    <w:rsid w:val="00B601DD"/>
    <w:rsid w:val="00B62AE4"/>
    <w:rsid w:val="00B635E5"/>
    <w:rsid w:val="00B640D2"/>
    <w:rsid w:val="00B6420C"/>
    <w:rsid w:val="00B64FBD"/>
    <w:rsid w:val="00B65506"/>
    <w:rsid w:val="00B6762E"/>
    <w:rsid w:val="00B6787C"/>
    <w:rsid w:val="00B70B89"/>
    <w:rsid w:val="00B712AE"/>
    <w:rsid w:val="00B732DE"/>
    <w:rsid w:val="00B74147"/>
    <w:rsid w:val="00B74771"/>
    <w:rsid w:val="00B7482B"/>
    <w:rsid w:val="00B757EF"/>
    <w:rsid w:val="00B75B93"/>
    <w:rsid w:val="00B75F2E"/>
    <w:rsid w:val="00B768CD"/>
    <w:rsid w:val="00B76900"/>
    <w:rsid w:val="00B8049C"/>
    <w:rsid w:val="00B80F9F"/>
    <w:rsid w:val="00B83037"/>
    <w:rsid w:val="00B84A2C"/>
    <w:rsid w:val="00B87935"/>
    <w:rsid w:val="00B90B0F"/>
    <w:rsid w:val="00B9111D"/>
    <w:rsid w:val="00B924BD"/>
    <w:rsid w:val="00B92D9A"/>
    <w:rsid w:val="00B93FB6"/>
    <w:rsid w:val="00B95337"/>
    <w:rsid w:val="00B962BD"/>
    <w:rsid w:val="00B97887"/>
    <w:rsid w:val="00B97FEF"/>
    <w:rsid w:val="00BA0CA5"/>
    <w:rsid w:val="00BA146E"/>
    <w:rsid w:val="00BA1C3D"/>
    <w:rsid w:val="00BA27D5"/>
    <w:rsid w:val="00BA2D39"/>
    <w:rsid w:val="00BA2EB8"/>
    <w:rsid w:val="00BA35A4"/>
    <w:rsid w:val="00BA565B"/>
    <w:rsid w:val="00BA6B70"/>
    <w:rsid w:val="00BA6BFA"/>
    <w:rsid w:val="00BA7798"/>
    <w:rsid w:val="00BA7A95"/>
    <w:rsid w:val="00BA7E99"/>
    <w:rsid w:val="00BB0C9C"/>
    <w:rsid w:val="00BB0EBE"/>
    <w:rsid w:val="00BB127A"/>
    <w:rsid w:val="00BB38CD"/>
    <w:rsid w:val="00BB50FA"/>
    <w:rsid w:val="00BB55DF"/>
    <w:rsid w:val="00BB5B69"/>
    <w:rsid w:val="00BB64B9"/>
    <w:rsid w:val="00BB7BBC"/>
    <w:rsid w:val="00BB7BF9"/>
    <w:rsid w:val="00BC0F04"/>
    <w:rsid w:val="00BC2E32"/>
    <w:rsid w:val="00BC3B5D"/>
    <w:rsid w:val="00BC4561"/>
    <w:rsid w:val="00BC6DFD"/>
    <w:rsid w:val="00BC71E6"/>
    <w:rsid w:val="00BC7544"/>
    <w:rsid w:val="00BD0A63"/>
    <w:rsid w:val="00BD0DB7"/>
    <w:rsid w:val="00BD0EEE"/>
    <w:rsid w:val="00BD2D44"/>
    <w:rsid w:val="00BD4C0E"/>
    <w:rsid w:val="00BD6706"/>
    <w:rsid w:val="00BD685B"/>
    <w:rsid w:val="00BD71DF"/>
    <w:rsid w:val="00BD76FC"/>
    <w:rsid w:val="00BE03FA"/>
    <w:rsid w:val="00BE1280"/>
    <w:rsid w:val="00BE3B2D"/>
    <w:rsid w:val="00BE51CA"/>
    <w:rsid w:val="00BE7182"/>
    <w:rsid w:val="00BE7CDF"/>
    <w:rsid w:val="00BF148F"/>
    <w:rsid w:val="00BF156D"/>
    <w:rsid w:val="00BF1A75"/>
    <w:rsid w:val="00BF23B9"/>
    <w:rsid w:val="00BF334E"/>
    <w:rsid w:val="00BF4445"/>
    <w:rsid w:val="00BF67C5"/>
    <w:rsid w:val="00C00FF2"/>
    <w:rsid w:val="00C045AD"/>
    <w:rsid w:val="00C046C5"/>
    <w:rsid w:val="00C04E82"/>
    <w:rsid w:val="00C05FE2"/>
    <w:rsid w:val="00C07F2A"/>
    <w:rsid w:val="00C1027A"/>
    <w:rsid w:val="00C109AE"/>
    <w:rsid w:val="00C11392"/>
    <w:rsid w:val="00C1232F"/>
    <w:rsid w:val="00C1289A"/>
    <w:rsid w:val="00C12DB6"/>
    <w:rsid w:val="00C138E0"/>
    <w:rsid w:val="00C14F94"/>
    <w:rsid w:val="00C15622"/>
    <w:rsid w:val="00C1568F"/>
    <w:rsid w:val="00C15BCF"/>
    <w:rsid w:val="00C15F49"/>
    <w:rsid w:val="00C16AF3"/>
    <w:rsid w:val="00C17012"/>
    <w:rsid w:val="00C17F74"/>
    <w:rsid w:val="00C20A20"/>
    <w:rsid w:val="00C218AD"/>
    <w:rsid w:val="00C22752"/>
    <w:rsid w:val="00C242AE"/>
    <w:rsid w:val="00C256BA"/>
    <w:rsid w:val="00C263FC"/>
    <w:rsid w:val="00C269D3"/>
    <w:rsid w:val="00C27884"/>
    <w:rsid w:val="00C32406"/>
    <w:rsid w:val="00C371AE"/>
    <w:rsid w:val="00C371BC"/>
    <w:rsid w:val="00C37D9D"/>
    <w:rsid w:val="00C40F1D"/>
    <w:rsid w:val="00C440FF"/>
    <w:rsid w:val="00C46E1A"/>
    <w:rsid w:val="00C471DC"/>
    <w:rsid w:val="00C51485"/>
    <w:rsid w:val="00C51556"/>
    <w:rsid w:val="00C52B21"/>
    <w:rsid w:val="00C542C2"/>
    <w:rsid w:val="00C55329"/>
    <w:rsid w:val="00C55C93"/>
    <w:rsid w:val="00C5684E"/>
    <w:rsid w:val="00C575FA"/>
    <w:rsid w:val="00C60614"/>
    <w:rsid w:val="00C60C04"/>
    <w:rsid w:val="00C62927"/>
    <w:rsid w:val="00C648DC"/>
    <w:rsid w:val="00C6559E"/>
    <w:rsid w:val="00C65AC8"/>
    <w:rsid w:val="00C66090"/>
    <w:rsid w:val="00C66478"/>
    <w:rsid w:val="00C74037"/>
    <w:rsid w:val="00C77047"/>
    <w:rsid w:val="00C818FB"/>
    <w:rsid w:val="00C819B0"/>
    <w:rsid w:val="00C82D06"/>
    <w:rsid w:val="00C8301C"/>
    <w:rsid w:val="00C841A8"/>
    <w:rsid w:val="00C84562"/>
    <w:rsid w:val="00C85877"/>
    <w:rsid w:val="00C860F5"/>
    <w:rsid w:val="00C8692F"/>
    <w:rsid w:val="00C903F8"/>
    <w:rsid w:val="00C9078D"/>
    <w:rsid w:val="00C90DB6"/>
    <w:rsid w:val="00C90DDD"/>
    <w:rsid w:val="00C910CA"/>
    <w:rsid w:val="00C9169C"/>
    <w:rsid w:val="00C92D10"/>
    <w:rsid w:val="00C9311A"/>
    <w:rsid w:val="00C93D97"/>
    <w:rsid w:val="00C93F27"/>
    <w:rsid w:val="00C95B34"/>
    <w:rsid w:val="00C969B1"/>
    <w:rsid w:val="00C96A2F"/>
    <w:rsid w:val="00C973F1"/>
    <w:rsid w:val="00C978C9"/>
    <w:rsid w:val="00CA0E18"/>
    <w:rsid w:val="00CA2B0D"/>
    <w:rsid w:val="00CA3D67"/>
    <w:rsid w:val="00CA42FF"/>
    <w:rsid w:val="00CA4A60"/>
    <w:rsid w:val="00CA6BBC"/>
    <w:rsid w:val="00CA6F7D"/>
    <w:rsid w:val="00CA705F"/>
    <w:rsid w:val="00CA7206"/>
    <w:rsid w:val="00CA7BF9"/>
    <w:rsid w:val="00CB04F4"/>
    <w:rsid w:val="00CB1E82"/>
    <w:rsid w:val="00CB21AF"/>
    <w:rsid w:val="00CB253E"/>
    <w:rsid w:val="00CB30E5"/>
    <w:rsid w:val="00CB5660"/>
    <w:rsid w:val="00CB5A38"/>
    <w:rsid w:val="00CB5DC8"/>
    <w:rsid w:val="00CB6289"/>
    <w:rsid w:val="00CB794F"/>
    <w:rsid w:val="00CC2934"/>
    <w:rsid w:val="00CC6752"/>
    <w:rsid w:val="00CC6E05"/>
    <w:rsid w:val="00CC7094"/>
    <w:rsid w:val="00CD0372"/>
    <w:rsid w:val="00CD056D"/>
    <w:rsid w:val="00CD09D7"/>
    <w:rsid w:val="00CD0EF5"/>
    <w:rsid w:val="00CD3746"/>
    <w:rsid w:val="00CD3AEC"/>
    <w:rsid w:val="00CD45A6"/>
    <w:rsid w:val="00CD4C3C"/>
    <w:rsid w:val="00CD5624"/>
    <w:rsid w:val="00CD6884"/>
    <w:rsid w:val="00CD6ACB"/>
    <w:rsid w:val="00CE0BDF"/>
    <w:rsid w:val="00CE1146"/>
    <w:rsid w:val="00CE342C"/>
    <w:rsid w:val="00CE3E4E"/>
    <w:rsid w:val="00CE416F"/>
    <w:rsid w:val="00CE4203"/>
    <w:rsid w:val="00CE4996"/>
    <w:rsid w:val="00CE7C37"/>
    <w:rsid w:val="00CF1D73"/>
    <w:rsid w:val="00CF1DE0"/>
    <w:rsid w:val="00CF39BC"/>
    <w:rsid w:val="00CF51DE"/>
    <w:rsid w:val="00CF606B"/>
    <w:rsid w:val="00D004DB"/>
    <w:rsid w:val="00D0084E"/>
    <w:rsid w:val="00D0193C"/>
    <w:rsid w:val="00D0311C"/>
    <w:rsid w:val="00D033C1"/>
    <w:rsid w:val="00D03A35"/>
    <w:rsid w:val="00D04592"/>
    <w:rsid w:val="00D04FE8"/>
    <w:rsid w:val="00D052C6"/>
    <w:rsid w:val="00D059C4"/>
    <w:rsid w:val="00D05FBE"/>
    <w:rsid w:val="00D06697"/>
    <w:rsid w:val="00D07760"/>
    <w:rsid w:val="00D07A79"/>
    <w:rsid w:val="00D1041E"/>
    <w:rsid w:val="00D11527"/>
    <w:rsid w:val="00D11DD6"/>
    <w:rsid w:val="00D12C96"/>
    <w:rsid w:val="00D145C4"/>
    <w:rsid w:val="00D14C56"/>
    <w:rsid w:val="00D160D3"/>
    <w:rsid w:val="00D16F9F"/>
    <w:rsid w:val="00D17E0A"/>
    <w:rsid w:val="00D20615"/>
    <w:rsid w:val="00D208A0"/>
    <w:rsid w:val="00D2167B"/>
    <w:rsid w:val="00D224BC"/>
    <w:rsid w:val="00D233A4"/>
    <w:rsid w:val="00D2485F"/>
    <w:rsid w:val="00D2505D"/>
    <w:rsid w:val="00D263B8"/>
    <w:rsid w:val="00D2645F"/>
    <w:rsid w:val="00D2657A"/>
    <w:rsid w:val="00D27298"/>
    <w:rsid w:val="00D27C97"/>
    <w:rsid w:val="00D30B3A"/>
    <w:rsid w:val="00D31172"/>
    <w:rsid w:val="00D3125D"/>
    <w:rsid w:val="00D324CA"/>
    <w:rsid w:val="00D32CD6"/>
    <w:rsid w:val="00D34117"/>
    <w:rsid w:val="00D34DE6"/>
    <w:rsid w:val="00D3512A"/>
    <w:rsid w:val="00D355D2"/>
    <w:rsid w:val="00D37DB6"/>
    <w:rsid w:val="00D40CF6"/>
    <w:rsid w:val="00D40E58"/>
    <w:rsid w:val="00D426B6"/>
    <w:rsid w:val="00D43B17"/>
    <w:rsid w:val="00D4693C"/>
    <w:rsid w:val="00D47779"/>
    <w:rsid w:val="00D47C4E"/>
    <w:rsid w:val="00D51C79"/>
    <w:rsid w:val="00D52AC6"/>
    <w:rsid w:val="00D53F6E"/>
    <w:rsid w:val="00D554E4"/>
    <w:rsid w:val="00D5597F"/>
    <w:rsid w:val="00D55D73"/>
    <w:rsid w:val="00D5688D"/>
    <w:rsid w:val="00D56CAC"/>
    <w:rsid w:val="00D56EA2"/>
    <w:rsid w:val="00D579BA"/>
    <w:rsid w:val="00D57E35"/>
    <w:rsid w:val="00D60178"/>
    <w:rsid w:val="00D62398"/>
    <w:rsid w:val="00D6271D"/>
    <w:rsid w:val="00D644D9"/>
    <w:rsid w:val="00D663C5"/>
    <w:rsid w:val="00D673B1"/>
    <w:rsid w:val="00D70ED5"/>
    <w:rsid w:val="00D72407"/>
    <w:rsid w:val="00D73263"/>
    <w:rsid w:val="00D74124"/>
    <w:rsid w:val="00D75965"/>
    <w:rsid w:val="00D75BEA"/>
    <w:rsid w:val="00D76692"/>
    <w:rsid w:val="00D76F6B"/>
    <w:rsid w:val="00D80CBC"/>
    <w:rsid w:val="00D81361"/>
    <w:rsid w:val="00D81A23"/>
    <w:rsid w:val="00D82868"/>
    <w:rsid w:val="00D841E4"/>
    <w:rsid w:val="00D84B91"/>
    <w:rsid w:val="00D85658"/>
    <w:rsid w:val="00D85785"/>
    <w:rsid w:val="00D8699B"/>
    <w:rsid w:val="00D86F8C"/>
    <w:rsid w:val="00D87146"/>
    <w:rsid w:val="00D8780B"/>
    <w:rsid w:val="00D87A3E"/>
    <w:rsid w:val="00D91715"/>
    <w:rsid w:val="00D93A3A"/>
    <w:rsid w:val="00D946AA"/>
    <w:rsid w:val="00D963DA"/>
    <w:rsid w:val="00D96869"/>
    <w:rsid w:val="00D97A90"/>
    <w:rsid w:val="00D97EA2"/>
    <w:rsid w:val="00D97FAB"/>
    <w:rsid w:val="00DA2BED"/>
    <w:rsid w:val="00DA3829"/>
    <w:rsid w:val="00DA45C8"/>
    <w:rsid w:val="00DA6913"/>
    <w:rsid w:val="00DB11F1"/>
    <w:rsid w:val="00DB1EBB"/>
    <w:rsid w:val="00DB39B7"/>
    <w:rsid w:val="00DB517C"/>
    <w:rsid w:val="00DC0558"/>
    <w:rsid w:val="00DC0ADB"/>
    <w:rsid w:val="00DC0AFF"/>
    <w:rsid w:val="00DC19C5"/>
    <w:rsid w:val="00DC61A5"/>
    <w:rsid w:val="00DD0923"/>
    <w:rsid w:val="00DD1E67"/>
    <w:rsid w:val="00DD2A7C"/>
    <w:rsid w:val="00DD32BD"/>
    <w:rsid w:val="00DD3374"/>
    <w:rsid w:val="00DD439A"/>
    <w:rsid w:val="00DD4DFC"/>
    <w:rsid w:val="00DD6166"/>
    <w:rsid w:val="00DD6517"/>
    <w:rsid w:val="00DD66FE"/>
    <w:rsid w:val="00DD7060"/>
    <w:rsid w:val="00DD72CA"/>
    <w:rsid w:val="00DE0A0A"/>
    <w:rsid w:val="00DE0BB5"/>
    <w:rsid w:val="00DE0D0E"/>
    <w:rsid w:val="00DE17DF"/>
    <w:rsid w:val="00DE3806"/>
    <w:rsid w:val="00DE3B24"/>
    <w:rsid w:val="00DE3E8E"/>
    <w:rsid w:val="00DE4519"/>
    <w:rsid w:val="00DE6CAF"/>
    <w:rsid w:val="00DF2AFB"/>
    <w:rsid w:val="00DF2FBE"/>
    <w:rsid w:val="00DF34EE"/>
    <w:rsid w:val="00DF53FA"/>
    <w:rsid w:val="00DF5E7B"/>
    <w:rsid w:val="00DF706D"/>
    <w:rsid w:val="00DF793D"/>
    <w:rsid w:val="00E00699"/>
    <w:rsid w:val="00E00776"/>
    <w:rsid w:val="00E00C9B"/>
    <w:rsid w:val="00E01E59"/>
    <w:rsid w:val="00E021F1"/>
    <w:rsid w:val="00E026CD"/>
    <w:rsid w:val="00E03E3C"/>
    <w:rsid w:val="00E043B4"/>
    <w:rsid w:val="00E04B97"/>
    <w:rsid w:val="00E058AB"/>
    <w:rsid w:val="00E05C48"/>
    <w:rsid w:val="00E06039"/>
    <w:rsid w:val="00E06552"/>
    <w:rsid w:val="00E12235"/>
    <w:rsid w:val="00E12F0C"/>
    <w:rsid w:val="00E13401"/>
    <w:rsid w:val="00E13A4B"/>
    <w:rsid w:val="00E14200"/>
    <w:rsid w:val="00E14A09"/>
    <w:rsid w:val="00E167E4"/>
    <w:rsid w:val="00E16819"/>
    <w:rsid w:val="00E16A5C"/>
    <w:rsid w:val="00E178CA"/>
    <w:rsid w:val="00E21035"/>
    <w:rsid w:val="00E2181F"/>
    <w:rsid w:val="00E21F07"/>
    <w:rsid w:val="00E2598A"/>
    <w:rsid w:val="00E27BD3"/>
    <w:rsid w:val="00E27EBB"/>
    <w:rsid w:val="00E309B9"/>
    <w:rsid w:val="00E30CEA"/>
    <w:rsid w:val="00E31262"/>
    <w:rsid w:val="00E35C7C"/>
    <w:rsid w:val="00E35EFA"/>
    <w:rsid w:val="00E36ED5"/>
    <w:rsid w:val="00E37415"/>
    <w:rsid w:val="00E4199D"/>
    <w:rsid w:val="00E41CBA"/>
    <w:rsid w:val="00E41D49"/>
    <w:rsid w:val="00E427DD"/>
    <w:rsid w:val="00E42FDB"/>
    <w:rsid w:val="00E43203"/>
    <w:rsid w:val="00E43456"/>
    <w:rsid w:val="00E462AE"/>
    <w:rsid w:val="00E46BEC"/>
    <w:rsid w:val="00E477F7"/>
    <w:rsid w:val="00E50EB1"/>
    <w:rsid w:val="00E526E5"/>
    <w:rsid w:val="00E52AE3"/>
    <w:rsid w:val="00E53B11"/>
    <w:rsid w:val="00E53C5C"/>
    <w:rsid w:val="00E53FCC"/>
    <w:rsid w:val="00E5481F"/>
    <w:rsid w:val="00E54F89"/>
    <w:rsid w:val="00E5664B"/>
    <w:rsid w:val="00E571D0"/>
    <w:rsid w:val="00E5793C"/>
    <w:rsid w:val="00E57AEC"/>
    <w:rsid w:val="00E602A5"/>
    <w:rsid w:val="00E6191B"/>
    <w:rsid w:val="00E63307"/>
    <w:rsid w:val="00E64840"/>
    <w:rsid w:val="00E65C06"/>
    <w:rsid w:val="00E7285E"/>
    <w:rsid w:val="00E75B41"/>
    <w:rsid w:val="00E760B9"/>
    <w:rsid w:val="00E77B22"/>
    <w:rsid w:val="00E80452"/>
    <w:rsid w:val="00E81109"/>
    <w:rsid w:val="00E82AEA"/>
    <w:rsid w:val="00E830C3"/>
    <w:rsid w:val="00E832CC"/>
    <w:rsid w:val="00E855DF"/>
    <w:rsid w:val="00E8730E"/>
    <w:rsid w:val="00E873DA"/>
    <w:rsid w:val="00E907B6"/>
    <w:rsid w:val="00E90EDC"/>
    <w:rsid w:val="00E916AC"/>
    <w:rsid w:val="00E924E0"/>
    <w:rsid w:val="00E9389D"/>
    <w:rsid w:val="00E9630E"/>
    <w:rsid w:val="00E975FE"/>
    <w:rsid w:val="00EA1B2F"/>
    <w:rsid w:val="00EA328D"/>
    <w:rsid w:val="00EA512E"/>
    <w:rsid w:val="00EA5C46"/>
    <w:rsid w:val="00EA6386"/>
    <w:rsid w:val="00EB0827"/>
    <w:rsid w:val="00EB12E9"/>
    <w:rsid w:val="00EB1966"/>
    <w:rsid w:val="00EB1E85"/>
    <w:rsid w:val="00EB2D68"/>
    <w:rsid w:val="00EB6182"/>
    <w:rsid w:val="00EB67E0"/>
    <w:rsid w:val="00EB6D2F"/>
    <w:rsid w:val="00EB7BD3"/>
    <w:rsid w:val="00EC000D"/>
    <w:rsid w:val="00EC08DE"/>
    <w:rsid w:val="00EC095B"/>
    <w:rsid w:val="00EC1154"/>
    <w:rsid w:val="00EC120F"/>
    <w:rsid w:val="00EC40B3"/>
    <w:rsid w:val="00EC500A"/>
    <w:rsid w:val="00EC678B"/>
    <w:rsid w:val="00EC7183"/>
    <w:rsid w:val="00EC7F3A"/>
    <w:rsid w:val="00ED0175"/>
    <w:rsid w:val="00ED1CB7"/>
    <w:rsid w:val="00ED2816"/>
    <w:rsid w:val="00ED31EC"/>
    <w:rsid w:val="00ED5715"/>
    <w:rsid w:val="00ED64A9"/>
    <w:rsid w:val="00EE06A7"/>
    <w:rsid w:val="00EE188B"/>
    <w:rsid w:val="00EE41EE"/>
    <w:rsid w:val="00EE43DE"/>
    <w:rsid w:val="00EE7A89"/>
    <w:rsid w:val="00EE7DF3"/>
    <w:rsid w:val="00EE7E3D"/>
    <w:rsid w:val="00EF064C"/>
    <w:rsid w:val="00EF17E8"/>
    <w:rsid w:val="00EF5C21"/>
    <w:rsid w:val="00EF5FA1"/>
    <w:rsid w:val="00EF5FF5"/>
    <w:rsid w:val="00EF72B0"/>
    <w:rsid w:val="00EF7591"/>
    <w:rsid w:val="00EF7A7F"/>
    <w:rsid w:val="00F01713"/>
    <w:rsid w:val="00F028B3"/>
    <w:rsid w:val="00F0294E"/>
    <w:rsid w:val="00F04F8D"/>
    <w:rsid w:val="00F063FC"/>
    <w:rsid w:val="00F06C9B"/>
    <w:rsid w:val="00F07F38"/>
    <w:rsid w:val="00F11072"/>
    <w:rsid w:val="00F12870"/>
    <w:rsid w:val="00F128D0"/>
    <w:rsid w:val="00F149C8"/>
    <w:rsid w:val="00F15BDE"/>
    <w:rsid w:val="00F15C90"/>
    <w:rsid w:val="00F165C0"/>
    <w:rsid w:val="00F20086"/>
    <w:rsid w:val="00F20268"/>
    <w:rsid w:val="00F214DB"/>
    <w:rsid w:val="00F224B0"/>
    <w:rsid w:val="00F22E59"/>
    <w:rsid w:val="00F23018"/>
    <w:rsid w:val="00F300A3"/>
    <w:rsid w:val="00F32FAE"/>
    <w:rsid w:val="00F34322"/>
    <w:rsid w:val="00F3462E"/>
    <w:rsid w:val="00F35535"/>
    <w:rsid w:val="00F36618"/>
    <w:rsid w:val="00F36D70"/>
    <w:rsid w:val="00F4226F"/>
    <w:rsid w:val="00F43CA0"/>
    <w:rsid w:val="00F43DCF"/>
    <w:rsid w:val="00F44502"/>
    <w:rsid w:val="00F446C3"/>
    <w:rsid w:val="00F44FA8"/>
    <w:rsid w:val="00F4543B"/>
    <w:rsid w:val="00F47818"/>
    <w:rsid w:val="00F51844"/>
    <w:rsid w:val="00F52F9E"/>
    <w:rsid w:val="00F5402E"/>
    <w:rsid w:val="00F55FB4"/>
    <w:rsid w:val="00F569D5"/>
    <w:rsid w:val="00F57387"/>
    <w:rsid w:val="00F578BA"/>
    <w:rsid w:val="00F6055B"/>
    <w:rsid w:val="00F616FE"/>
    <w:rsid w:val="00F64199"/>
    <w:rsid w:val="00F66CBE"/>
    <w:rsid w:val="00F67590"/>
    <w:rsid w:val="00F676B1"/>
    <w:rsid w:val="00F70338"/>
    <w:rsid w:val="00F70F29"/>
    <w:rsid w:val="00F70FFF"/>
    <w:rsid w:val="00F740EA"/>
    <w:rsid w:val="00F75845"/>
    <w:rsid w:val="00F7740E"/>
    <w:rsid w:val="00F80282"/>
    <w:rsid w:val="00F82084"/>
    <w:rsid w:val="00F84D33"/>
    <w:rsid w:val="00F86A67"/>
    <w:rsid w:val="00F8731D"/>
    <w:rsid w:val="00F8733E"/>
    <w:rsid w:val="00F9049F"/>
    <w:rsid w:val="00F9100F"/>
    <w:rsid w:val="00F91517"/>
    <w:rsid w:val="00F92C1E"/>
    <w:rsid w:val="00F933A1"/>
    <w:rsid w:val="00F93AFE"/>
    <w:rsid w:val="00F94A27"/>
    <w:rsid w:val="00F95EA6"/>
    <w:rsid w:val="00F96FC9"/>
    <w:rsid w:val="00FA0D7C"/>
    <w:rsid w:val="00FA4651"/>
    <w:rsid w:val="00FA4EFD"/>
    <w:rsid w:val="00FA52D9"/>
    <w:rsid w:val="00FA5AC6"/>
    <w:rsid w:val="00FA73A4"/>
    <w:rsid w:val="00FB06C8"/>
    <w:rsid w:val="00FB1204"/>
    <w:rsid w:val="00FB449C"/>
    <w:rsid w:val="00FB5153"/>
    <w:rsid w:val="00FB563D"/>
    <w:rsid w:val="00FB5DE7"/>
    <w:rsid w:val="00FB7BF9"/>
    <w:rsid w:val="00FC036B"/>
    <w:rsid w:val="00FC1E79"/>
    <w:rsid w:val="00FC1EDE"/>
    <w:rsid w:val="00FC432D"/>
    <w:rsid w:val="00FC46AF"/>
    <w:rsid w:val="00FC57FA"/>
    <w:rsid w:val="00FD0997"/>
    <w:rsid w:val="00FD142C"/>
    <w:rsid w:val="00FD2803"/>
    <w:rsid w:val="00FD2B07"/>
    <w:rsid w:val="00FD32E5"/>
    <w:rsid w:val="00FD3718"/>
    <w:rsid w:val="00FD3A37"/>
    <w:rsid w:val="00FD3D45"/>
    <w:rsid w:val="00FD459B"/>
    <w:rsid w:val="00FD5D56"/>
    <w:rsid w:val="00FD6205"/>
    <w:rsid w:val="00FD6BA4"/>
    <w:rsid w:val="00FE0970"/>
    <w:rsid w:val="00FE2F38"/>
    <w:rsid w:val="00FE48E7"/>
    <w:rsid w:val="00FE4FE8"/>
    <w:rsid w:val="00FE5857"/>
    <w:rsid w:val="00FE5F4F"/>
    <w:rsid w:val="00FE64AA"/>
    <w:rsid w:val="00FF03F8"/>
    <w:rsid w:val="00FF0551"/>
    <w:rsid w:val="00FF0756"/>
    <w:rsid w:val="00FF0BB3"/>
    <w:rsid w:val="00FF2C39"/>
    <w:rsid w:val="00FF458A"/>
    <w:rsid w:val="00FF4BEF"/>
    <w:rsid w:val="00FF5461"/>
    <w:rsid w:val="00FF56C8"/>
    <w:rsid w:val="08C47915"/>
    <w:rsid w:val="09B114B7"/>
    <w:rsid w:val="0A4271BB"/>
    <w:rsid w:val="0A4C69F3"/>
    <w:rsid w:val="0B0D3E0C"/>
    <w:rsid w:val="0CA50CD8"/>
    <w:rsid w:val="0D4E59FF"/>
    <w:rsid w:val="0DB9785E"/>
    <w:rsid w:val="0EBD108E"/>
    <w:rsid w:val="10833C11"/>
    <w:rsid w:val="10AB4F16"/>
    <w:rsid w:val="10BD35C7"/>
    <w:rsid w:val="10C1089F"/>
    <w:rsid w:val="11074301"/>
    <w:rsid w:val="12982B2B"/>
    <w:rsid w:val="12F07F48"/>
    <w:rsid w:val="199F024C"/>
    <w:rsid w:val="19D93BB3"/>
    <w:rsid w:val="1A237579"/>
    <w:rsid w:val="1AA67A69"/>
    <w:rsid w:val="1AC15A62"/>
    <w:rsid w:val="1D61678E"/>
    <w:rsid w:val="1DF54BEE"/>
    <w:rsid w:val="1F7053E3"/>
    <w:rsid w:val="20416795"/>
    <w:rsid w:val="20645E03"/>
    <w:rsid w:val="209F280F"/>
    <w:rsid w:val="20E8515B"/>
    <w:rsid w:val="24ED0FDA"/>
    <w:rsid w:val="26034D00"/>
    <w:rsid w:val="27651060"/>
    <w:rsid w:val="27E3571D"/>
    <w:rsid w:val="29427C8D"/>
    <w:rsid w:val="29471828"/>
    <w:rsid w:val="2F4607D4"/>
    <w:rsid w:val="2F7610DD"/>
    <w:rsid w:val="323944BA"/>
    <w:rsid w:val="33182487"/>
    <w:rsid w:val="33956111"/>
    <w:rsid w:val="33C92430"/>
    <w:rsid w:val="374A66EF"/>
    <w:rsid w:val="38076970"/>
    <w:rsid w:val="389E210A"/>
    <w:rsid w:val="38AA1738"/>
    <w:rsid w:val="3A790C4B"/>
    <w:rsid w:val="3DD314BA"/>
    <w:rsid w:val="3F073ADC"/>
    <w:rsid w:val="3F3338ED"/>
    <w:rsid w:val="4001563F"/>
    <w:rsid w:val="45F67C81"/>
    <w:rsid w:val="473B7D99"/>
    <w:rsid w:val="48C02DE0"/>
    <w:rsid w:val="499D4576"/>
    <w:rsid w:val="4A196056"/>
    <w:rsid w:val="4A222428"/>
    <w:rsid w:val="4E0A59EA"/>
    <w:rsid w:val="4E6400A6"/>
    <w:rsid w:val="527E2A15"/>
    <w:rsid w:val="533C25EA"/>
    <w:rsid w:val="57415823"/>
    <w:rsid w:val="595219A0"/>
    <w:rsid w:val="5AB93157"/>
    <w:rsid w:val="5ED6597D"/>
    <w:rsid w:val="611C105E"/>
    <w:rsid w:val="62951D75"/>
    <w:rsid w:val="63A11F18"/>
    <w:rsid w:val="64B259E8"/>
    <w:rsid w:val="65C15EE3"/>
    <w:rsid w:val="67132F5B"/>
    <w:rsid w:val="68B4467F"/>
    <w:rsid w:val="69D53CDE"/>
    <w:rsid w:val="6A4D6E6C"/>
    <w:rsid w:val="6C890C1C"/>
    <w:rsid w:val="6CC31ED4"/>
    <w:rsid w:val="6CE8592F"/>
    <w:rsid w:val="6D2E056A"/>
    <w:rsid w:val="6D873B06"/>
    <w:rsid w:val="6E545085"/>
    <w:rsid w:val="709F1517"/>
    <w:rsid w:val="71DF4B04"/>
    <w:rsid w:val="731E338E"/>
    <w:rsid w:val="73C71A44"/>
    <w:rsid w:val="7711272C"/>
    <w:rsid w:val="779D7E32"/>
    <w:rsid w:val="78530078"/>
    <w:rsid w:val="7AB7279B"/>
    <w:rsid w:val="7E8E6727"/>
    <w:rsid w:val="7FD648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方正仿宋_GBK" w:hAnsi="Times New Roman" w:eastAsia="方正仿宋_GBK" w:cs="Times New Roman"/>
      <w:kern w:val="32"/>
      <w:sz w:val="32"/>
      <w:szCs w:val="3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autoRedefine/>
    <w:qFormat/>
    <w:uiPriority w:val="0"/>
    <w:pPr>
      <w:jc w:val="left"/>
    </w:pPr>
  </w:style>
  <w:style w:type="paragraph" w:styleId="3">
    <w:name w:val="Balloon Text"/>
    <w:basedOn w:val="1"/>
    <w:link w:val="17"/>
    <w:autoRedefine/>
    <w:qFormat/>
    <w:uiPriority w:val="0"/>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9"/>
    <w:autoRedefine/>
    <w:qFormat/>
    <w:uiPriority w:val="0"/>
    <w:rPr>
      <w:b/>
      <w:bCs/>
    </w:rPr>
  </w:style>
  <w:style w:type="character" w:styleId="10">
    <w:name w:val="Strong"/>
    <w:basedOn w:val="9"/>
    <w:qFormat/>
    <w:uiPriority w:val="22"/>
    <w:rPr>
      <w:b/>
      <w:bCs/>
    </w:rPr>
  </w:style>
  <w:style w:type="character" w:styleId="11">
    <w:name w:val="Emphasis"/>
    <w:basedOn w:val="9"/>
    <w:autoRedefine/>
    <w:qFormat/>
    <w:uiPriority w:val="20"/>
    <w:rPr>
      <w:color w:val="F73131"/>
    </w:rPr>
  </w:style>
  <w:style w:type="character" w:styleId="12">
    <w:name w:val="annotation reference"/>
    <w:basedOn w:val="9"/>
    <w:autoRedefine/>
    <w:qFormat/>
    <w:uiPriority w:val="0"/>
    <w:rPr>
      <w:sz w:val="21"/>
      <w:szCs w:val="21"/>
    </w:rPr>
  </w:style>
  <w:style w:type="character" w:customStyle="1" w:styleId="13">
    <w:name w:val="页眉 Char"/>
    <w:basedOn w:val="9"/>
    <w:link w:val="5"/>
    <w:autoRedefine/>
    <w:qFormat/>
    <w:uiPriority w:val="99"/>
    <w:rPr>
      <w:sz w:val="18"/>
      <w:szCs w:val="18"/>
    </w:rPr>
  </w:style>
  <w:style w:type="character" w:customStyle="1" w:styleId="14">
    <w:name w:val="页脚 Char"/>
    <w:basedOn w:val="9"/>
    <w:link w:val="4"/>
    <w:autoRedefine/>
    <w:qFormat/>
    <w:uiPriority w:val="99"/>
    <w:rPr>
      <w:sz w:val="18"/>
      <w:szCs w:val="18"/>
    </w:rPr>
  </w:style>
  <w:style w:type="character" w:customStyle="1" w:styleId="15">
    <w:name w:val="UserStyle_0"/>
    <w:autoRedefine/>
    <w:qFormat/>
    <w:uiPriority w:val="99"/>
  </w:style>
  <w:style w:type="character" w:customStyle="1" w:styleId="16">
    <w:name w:val="NormalCharacter"/>
    <w:autoRedefine/>
    <w:qFormat/>
    <w:uiPriority w:val="0"/>
  </w:style>
  <w:style w:type="character" w:customStyle="1" w:styleId="17">
    <w:name w:val="批注框文本 Char"/>
    <w:basedOn w:val="9"/>
    <w:link w:val="3"/>
    <w:autoRedefine/>
    <w:qFormat/>
    <w:uiPriority w:val="0"/>
    <w:rPr>
      <w:rFonts w:ascii="方正仿宋_GBK" w:hAnsi="Times New Roman" w:eastAsia="方正仿宋_GBK"/>
      <w:kern w:val="32"/>
      <w:sz w:val="18"/>
      <w:szCs w:val="18"/>
    </w:rPr>
  </w:style>
  <w:style w:type="character" w:customStyle="1" w:styleId="18">
    <w:name w:val="批注文字 Char"/>
    <w:basedOn w:val="9"/>
    <w:link w:val="2"/>
    <w:autoRedefine/>
    <w:qFormat/>
    <w:uiPriority w:val="0"/>
    <w:rPr>
      <w:rFonts w:ascii="方正仿宋_GBK" w:hAnsi="Times New Roman" w:eastAsia="方正仿宋_GBK"/>
      <w:kern w:val="32"/>
      <w:sz w:val="32"/>
      <w:szCs w:val="32"/>
    </w:rPr>
  </w:style>
  <w:style w:type="character" w:customStyle="1" w:styleId="19">
    <w:name w:val="批注主题 Char"/>
    <w:basedOn w:val="18"/>
    <w:link w:val="7"/>
    <w:autoRedefine/>
    <w:qFormat/>
    <w:uiPriority w:val="0"/>
    <w:rPr>
      <w:rFonts w:ascii="方正仿宋_GBK" w:hAnsi="Times New Roman" w:eastAsia="方正仿宋_GBK"/>
      <w:b/>
      <w:bCs/>
      <w:kern w:val="32"/>
      <w:sz w:val="32"/>
      <w:szCs w:val="32"/>
    </w:rPr>
  </w:style>
  <w:style w:type="character" w:customStyle="1" w:styleId="20">
    <w:name w:val="content-right_8zs401"/>
    <w:basedOn w:val="9"/>
    <w:autoRedefine/>
    <w:qFormat/>
    <w:uiPriority w:val="0"/>
  </w:style>
  <w:style w:type="paragraph" w:customStyle="1" w:styleId="21">
    <w:name w:val="段"/>
    <w:next w:val="1"/>
    <w:qFormat/>
    <w:uiPriority w:val="0"/>
    <w:pPr>
      <w:autoSpaceDE w:val="0"/>
      <w:autoSpaceDN w:val="0"/>
      <w:ind w:firstLine="200"/>
      <w:jc w:val="both"/>
    </w:pPr>
    <w:rPr>
      <w:rFonts w:ascii="宋体" w:hAnsi="Calibri" w:eastAsia="宋体" w:cs="Times New Roman"/>
      <w:sz w:val="21"/>
      <w:szCs w:val="22"/>
      <w:lang w:val="en-US" w:eastAsia="zh-CN" w:bidi="ar-SA"/>
    </w:rPr>
  </w:style>
  <w:style w:type="table" w:customStyle="1" w:styleId="22">
    <w:name w:val="Table Normal"/>
    <w:semiHidden/>
    <w:unhideWhenUsed/>
    <w:qFormat/>
    <w:uiPriority w:val="2"/>
    <w:rPr>
      <w:rFonts w:asciiTheme="minorHAnsi" w:hAnsiTheme="minorHAnsi" w:eastAsiaTheme="minorEastAsia" w:cstheme="minorBidi"/>
    </w:rPr>
    <w:tblPr>
      <w:tblCellMar>
        <w:top w:w="0" w:type="dxa"/>
        <w:left w:w="0" w:type="dxa"/>
        <w:bottom w:w="0" w:type="dxa"/>
        <w:right w:w="0" w:type="dxa"/>
      </w:tblCellMar>
    </w:tblPr>
  </w:style>
  <w:style w:type="paragraph" w:customStyle="1" w:styleId="23">
    <w:name w:val="标题 11"/>
    <w:basedOn w:val="1"/>
    <w:qFormat/>
    <w:uiPriority w:val="1"/>
    <w:pPr>
      <w:autoSpaceDE w:val="0"/>
      <w:autoSpaceDN w:val="0"/>
      <w:spacing w:before="215"/>
      <w:ind w:left="297"/>
      <w:jc w:val="left"/>
      <w:outlineLvl w:val="1"/>
    </w:pPr>
    <w:rPr>
      <w:rFonts w:ascii="方正小标宋_GBK" w:hAnsi="方正小标宋_GBK" w:eastAsia="方正小标宋_GBK" w:cs="方正小标宋_GBK"/>
      <w:kern w:val="0"/>
      <w:sz w:val="44"/>
      <w:szCs w:val="44"/>
      <w:lang w:eastAsia="en-US" w:bidi="en-US"/>
    </w:rPr>
  </w:style>
  <w:style w:type="paragraph" w:customStyle="1" w:styleId="24">
    <w:name w:val="Table Paragraph"/>
    <w:basedOn w:val="1"/>
    <w:qFormat/>
    <w:uiPriority w:val="99"/>
    <w:pPr>
      <w:autoSpaceDE w:val="0"/>
      <w:autoSpaceDN w:val="0"/>
      <w:jc w:val="left"/>
    </w:pPr>
    <w:rPr>
      <w:rFonts w:ascii="Arial Unicode MS" w:hAnsi="Arial Unicode MS" w:eastAsia="Arial Unicode MS" w:cs="Arial Unicode MS"/>
      <w:kern w:val="0"/>
      <w:sz w:val="22"/>
      <w:szCs w:val="22"/>
      <w:lang w:eastAsia="en-US" w:bidi="en-US"/>
    </w:rPr>
  </w:style>
  <w:style w:type="paragraph" w:customStyle="1" w:styleId="25">
    <w:name w:val="修订1"/>
    <w:hidden/>
    <w:semiHidden/>
    <w:qFormat/>
    <w:uiPriority w:val="99"/>
    <w:rPr>
      <w:rFonts w:ascii="方正仿宋_GBK" w:hAnsi="Times New Roman" w:eastAsia="方正仿宋_GBK" w:cs="Times New Roman"/>
      <w:kern w:val="32"/>
      <w:sz w:val="32"/>
      <w:szCs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DECE5E-6197-48A2-90A7-B2B788D41E89}">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16</Pages>
  <Words>8596</Words>
  <Characters>840</Characters>
  <Lines>7</Lines>
  <Paragraphs>18</Paragraphs>
  <TotalTime>45</TotalTime>
  <ScaleCrop>false</ScaleCrop>
  <LinksUpToDate>false</LinksUpToDate>
  <CharactersWithSpaces>9418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2024-01-07T12:17:00Z</dcterms:created>
  <dc:creator>Lenovo</dc:creator>
  <cp:lastModifiedBy>GWX</cp:lastModifiedBy>
  <cp:lastPrinted>2024-01-06T09:07:00Z</cp:lastPrinted>
  <dcterms:modified xsi:type="dcterms:W3CDTF">2024-02-05T09:27:36Z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be736cf5860a44cd8ffe29421ac93cee</vt:lpwstr>
  </property>
</Properties>
</file>